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3"/>
        <w:gridCol w:w="3103"/>
      </w:tblGrid>
      <w:tr w:rsidR="00FC2B1E" w:rsidRPr="00FC2B1E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103" w:type="dxa"/>
          </w:tcPr>
          <w:p w:rsidR="00FC2B1E" w:rsidRPr="00FC2B1E" w:rsidRDefault="00FC2B1E" w:rsidP="00FC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Antworten </w:t>
            </w:r>
            <w:bookmarkStart w:id="0" w:name="_GoBack"/>
            <w:bookmarkEnd w:id="0"/>
            <w:r w:rsidRPr="00FC2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B/1: </w:t>
            </w:r>
          </w:p>
        </w:tc>
        <w:tc>
          <w:tcPr>
            <w:tcW w:w="3103" w:type="dxa"/>
          </w:tcPr>
          <w:p w:rsidR="00FC2B1E" w:rsidRPr="00FC2B1E" w:rsidRDefault="00FC2B1E" w:rsidP="00FC2B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C2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Vorschriften beim Eingang einer Klageschrift bei Gericht und </w:t>
            </w:r>
            <w:proofErr w:type="spellStart"/>
            <w:r w:rsidRPr="00FC2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UdG</w:t>
            </w:r>
            <w:proofErr w:type="spellEnd"/>
            <w:r w:rsidRPr="00FC2B1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FC2B1E" w:rsidRDefault="00FC2B1E" w:rsidP="00FC2B1E">
      <w:r>
        <w:br/>
      </w:r>
      <w:r>
        <w:br/>
      </w:r>
      <w:r>
        <w:t>a:</w:t>
      </w:r>
    </w:p>
    <w:p w:rsidR="00FC2B1E" w:rsidRDefault="00FC2B1E" w:rsidP="00FC2B1E">
      <w:r>
        <w:t>der Zeitpunkt des Eingangs, ggf. unter Beifügung des Namenszeichens (hier Briefannahmestelle)</w:t>
      </w:r>
    </w:p>
    <w:p w:rsidR="00FC2B1E" w:rsidRDefault="00FC2B1E" w:rsidP="00FC2B1E">
      <w:r>
        <w:t>§ 6 I S. 1 GOV</w:t>
      </w:r>
    </w:p>
    <w:p w:rsidR="00FC2B1E" w:rsidRDefault="00FC2B1E" w:rsidP="00FC2B1E">
      <w:r>
        <w:t>b:</w:t>
      </w:r>
    </w:p>
    <w:p w:rsidR="00FC2B1E" w:rsidRDefault="00FC2B1E" w:rsidP="00FC2B1E">
      <w:r>
        <w:t>Dokumentation, wann das Verfahren anhängig ist, Hemmung der Verjährung, § 6 I S. 1 GOV</w:t>
      </w:r>
    </w:p>
    <w:p w:rsidR="00FC2B1E" w:rsidRDefault="00FC2B1E" w:rsidP="00FC2B1E">
      <w:r>
        <w:t>c:</w:t>
      </w:r>
    </w:p>
    <w:p w:rsidR="00FC2B1E" w:rsidRDefault="00FC2B1E" w:rsidP="00FC2B1E">
      <w:r>
        <w:t>Ja, wird der behördliche Eingangsstempel oder ein Nummernstempel verwendet wird, es muss zweifelsfrei festgestellt werden können, wer die Sendung entgegengenommen hat, § 6 I S. 2 GOV</w:t>
      </w:r>
    </w:p>
    <w:p w:rsidR="00FC2B1E" w:rsidRDefault="00FC2B1E" w:rsidP="00FC2B1E">
      <w:r>
        <w:t>d:</w:t>
      </w:r>
    </w:p>
    <w:p w:rsidR="00FC2B1E" w:rsidRDefault="00FC2B1E" w:rsidP="00FC2B1E">
      <w:r>
        <w:t>Anlagen – fehlt eine Anlage, muss dies vermerkt werden, § 6 I S. 3 GOV</w:t>
      </w:r>
    </w:p>
    <w:p w:rsidR="00FC2B1E" w:rsidRDefault="00FC2B1E" w:rsidP="00FC2B1E">
      <w:r>
        <w:t>e:</w:t>
      </w:r>
    </w:p>
    <w:p w:rsidR="00FC2B1E" w:rsidRDefault="00FC2B1E" w:rsidP="00FC2B1E">
      <w:r>
        <w:t>nur wenn der Name oder Adresse des Einsenders oder der Tag des Schreibens nicht deutlich erkennbar sind bzw. im Einzelfall zum Nachweis der Fristwahrung erforderlich ist, § 6 I S. 4 GOV</w:t>
      </w:r>
    </w:p>
    <w:p w:rsidR="00FC2B1E" w:rsidRDefault="00FC2B1E" w:rsidP="00FC2B1E">
      <w:r>
        <w:t>f:</w:t>
      </w:r>
    </w:p>
    <w:p w:rsidR="00FC2B1E" w:rsidRDefault="00FC2B1E" w:rsidP="00FC2B1E">
      <w:r>
        <w:t>nein, die Angabe des Zeitpunkts des Eingangs und Angabe der Anzahl der Anlagen sowie Beifügung des Namenszeichens kann unterbleiben = der Prüfvermerk ersetzt den behördlichen Eingangsstempel</w:t>
      </w:r>
    </w:p>
    <w:p w:rsidR="00FC2B1E" w:rsidRDefault="00FC2B1E" w:rsidP="00FC2B1E">
      <w:r>
        <w:t>§ 6 I S. 5 GOV</w:t>
      </w:r>
    </w:p>
    <w:p w:rsidR="00FC2B1E" w:rsidRDefault="00FC2B1E" w:rsidP="00FC2B1E">
      <w:r>
        <w:t>g:</w:t>
      </w:r>
    </w:p>
    <w:p w:rsidR="00FC2B1E" w:rsidRDefault="00FC2B1E" w:rsidP="00FC2B1E">
      <w:r>
        <w:t>der Prüfvermerk ist dem Schriftsatz beizufügen – vor dem Schriftsatz, § 6 I S. 6 GOV</w:t>
      </w:r>
    </w:p>
    <w:p w:rsidR="00FC2B1E" w:rsidRDefault="00FC2B1E" w:rsidP="00FC2B1E">
      <w:r>
        <w:t>h:</w:t>
      </w:r>
    </w:p>
    <w:p w:rsidR="00FC2B1E" w:rsidRDefault="00FC2B1E" w:rsidP="00FC2B1E">
      <w:r>
        <w:t>einen besonderen Eingangsvermerk anbringen = Präsentieren, gleicher Tag – nur Kürzel / nicht gleicher Tag – Datum + Kürzel, § 6 I S. 7 GOV</w:t>
      </w:r>
    </w:p>
    <w:p w:rsidR="00FC2B1E" w:rsidRDefault="00FC2B1E" w:rsidP="00FC2B1E">
      <w:r>
        <w:t>i:</w:t>
      </w:r>
    </w:p>
    <w:p w:rsidR="00FC2B1E" w:rsidRDefault="00FC2B1E" w:rsidP="00FC2B1E">
      <w:r>
        <w:t>der Zeitpunkt ist auf der Urschrift und auf den Abschriften zu vermerken, der Urschrift und der Abschriften ist ein Prüfvermerk voranzuheften, § 6 III GOV</w:t>
      </w:r>
    </w:p>
    <w:p w:rsidR="00FC2B1E" w:rsidRDefault="00FC2B1E" w:rsidP="00FC2B1E">
      <w:r>
        <w:t>j:</w:t>
      </w:r>
    </w:p>
    <w:p w:rsidR="00FC2B1E" w:rsidRDefault="00FC2B1E" w:rsidP="00FC2B1E">
      <w:r>
        <w:t>wenn den Sendungen bares Geld, Briefmarken oder sonstige Wertzeichen beiliegen</w:t>
      </w:r>
    </w:p>
    <w:p w:rsidR="00FC2B1E" w:rsidRDefault="00FC2B1E" w:rsidP="00FC2B1E">
      <w:r>
        <w:t>§ 6 V S. 1e GOV</w:t>
      </w:r>
    </w:p>
    <w:p w:rsidR="00FC2B1E" w:rsidRDefault="00FC2B1E" w:rsidP="00FC2B1E">
      <w:r>
        <w:t>k:</w:t>
      </w:r>
    </w:p>
    <w:p w:rsidR="00FC2B1E" w:rsidRDefault="00FC2B1E" w:rsidP="00FC2B1E">
      <w:r>
        <w:t xml:space="preserve">ja: Schriftsätze + </w:t>
      </w:r>
      <w:proofErr w:type="spellStart"/>
      <w:r>
        <w:t>Präsentat</w:t>
      </w:r>
      <w:proofErr w:type="spellEnd"/>
      <w:r>
        <w:t xml:space="preserve"> / ja: EB – kein </w:t>
      </w:r>
      <w:proofErr w:type="spellStart"/>
      <w:r>
        <w:t>Präsentat</w:t>
      </w:r>
      <w:proofErr w:type="spellEnd"/>
      <w:r>
        <w:t xml:space="preserve"> / nein: ZU – kein </w:t>
      </w:r>
      <w:proofErr w:type="spellStart"/>
      <w:r>
        <w:t>Präsentat</w:t>
      </w:r>
      <w:proofErr w:type="spellEnd"/>
      <w:r>
        <w:t>, § 6 VII GOV</w:t>
      </w:r>
    </w:p>
    <w:p w:rsidR="00FC2B1E" w:rsidRDefault="00FC2B1E" w:rsidP="00FC2B1E"/>
    <w:p w:rsidR="00FC2B1E" w:rsidRDefault="00FC2B1E" w:rsidP="00FC2B1E"/>
    <w:p w:rsidR="00FC2B1E" w:rsidRDefault="00FC2B1E" w:rsidP="00FC2B1E"/>
    <w:p w:rsidR="00FC2B1E" w:rsidRDefault="00FC2B1E" w:rsidP="00FC2B1E">
      <w:r>
        <w:t>l:</w:t>
      </w:r>
    </w:p>
    <w:p w:rsidR="00FC2B1E" w:rsidRDefault="00FC2B1E" w:rsidP="00FC2B1E">
      <w:r>
        <w:t>Empfang muss schriftlich bestätig werden – auf einem Entwurf einer Empfangsbescheinigung bzw. Quittungsbuch, werden Wertgegenstände überreicht, muss eine Empfangsbescheinigung unaufgefordert zu erteilen, von „Privatpersonen“ ist die Vorlage eines Entwurfes einer Empfangsbescheinigung nicht zu verlangen, § 6 IX GOV</w:t>
      </w:r>
    </w:p>
    <w:p w:rsidR="00FC2B1E" w:rsidRDefault="00FC2B1E" w:rsidP="00FC2B1E">
      <w:r>
        <w:t>m:</w:t>
      </w:r>
    </w:p>
    <w:p w:rsidR="00FC2B1E" w:rsidRDefault="00FC2B1E" w:rsidP="00FC2B1E">
      <w:r>
        <w:t>Gewahrsamsanweisung - § 7 GOV</w:t>
      </w:r>
    </w:p>
    <w:p w:rsidR="00FC2B1E" w:rsidRDefault="00FC2B1E" w:rsidP="00FC2B1E">
      <w:r>
        <w:t>n:</w:t>
      </w:r>
    </w:p>
    <w:p w:rsidR="00FC2B1E" w:rsidRDefault="00FC2B1E" w:rsidP="00FC2B1E">
      <w:r>
        <w:t xml:space="preserve">der </w:t>
      </w:r>
      <w:proofErr w:type="spellStart"/>
      <w:r>
        <w:t>UdG</w:t>
      </w:r>
      <w:proofErr w:type="spellEnd"/>
      <w:r>
        <w:t xml:space="preserve"> hat sie unmittelbar zu erledigen - § 8 I S. 1 GOV</w:t>
      </w:r>
    </w:p>
    <w:p w:rsidR="00FC2B1E" w:rsidRDefault="00FC2B1E" w:rsidP="00FC2B1E">
      <w:r>
        <w:t>o:</w:t>
      </w:r>
    </w:p>
    <w:p w:rsidR="00FC2B1E" w:rsidRDefault="00FC2B1E" w:rsidP="00FC2B1E">
      <w:r>
        <w:t xml:space="preserve">a) Schriftsatz mit Akten oder mit einem Vermerk über den Verbleib vorlegen, Eilsachen in </w:t>
      </w:r>
      <w:proofErr w:type="spellStart"/>
      <w:r>
        <w:t>rot</w:t>
      </w:r>
      <w:proofErr w:type="spellEnd"/>
      <w:r>
        <w:t>; gesamte Akten vorlegen – Trennung nur aus besonderen Gründen – § 8 II S. 1 und 2 GOV</w:t>
      </w:r>
    </w:p>
    <w:p w:rsidR="00FC2B1E" w:rsidRDefault="00FC2B1E" w:rsidP="00FC2B1E">
      <w:r>
        <w:t>b) Eingänge in geeigneter Weise elektronisch vorlegen, Eilsachen mit einer Priorisierung – § 8 II S. 3 GOV</w:t>
      </w:r>
    </w:p>
    <w:p w:rsidR="00FC2B1E" w:rsidRDefault="00FC2B1E" w:rsidP="00FC2B1E">
      <w:r>
        <w:t>p:</w:t>
      </w:r>
    </w:p>
    <w:p w:rsidR="00FC2B1E" w:rsidRDefault="00FC2B1E" w:rsidP="00FC2B1E">
      <w:r>
        <w:t xml:space="preserve">wenn die Vorlage angeordnet ist oder wenn der </w:t>
      </w:r>
      <w:proofErr w:type="spellStart"/>
      <w:r>
        <w:t>UdG</w:t>
      </w:r>
      <w:proofErr w:type="spellEnd"/>
      <w:r>
        <w:t xml:space="preserve"> feststellt, dass nicht vorschriftmäßig zugestellt worden ist bzw. wenn es verfügt worden ist, § 8 III S. 2 GOV</w:t>
      </w:r>
    </w:p>
    <w:p w:rsidR="00FC2B1E" w:rsidRDefault="00FC2B1E" w:rsidP="00FC2B1E">
      <w:r>
        <w:t>q:</w:t>
      </w:r>
    </w:p>
    <w:p w:rsidR="00FC2B1E" w:rsidRDefault="00FC2B1E" w:rsidP="00FC2B1E">
      <w:r>
        <w:t xml:space="preserve">der </w:t>
      </w:r>
      <w:proofErr w:type="spellStart"/>
      <w:r>
        <w:t>UdG</w:t>
      </w:r>
      <w:proofErr w:type="spellEnd"/>
      <w:r>
        <w:t xml:space="preserve"> muss eingehende Dokumente stets umgehend und grundsätzlich vor Erledigung anderer Dienstobliegenheiten durchsehen, verfahrenseinleitende, verfahrensbeeinflussende und eilbedürftige Schriftsätze sind nach ihrem Eingang unter Beifügung der Akten vorzulegen – </w:t>
      </w:r>
      <w:proofErr w:type="spellStart"/>
      <w:r>
        <w:t>Rothülle</w:t>
      </w:r>
      <w:proofErr w:type="spellEnd"/>
      <w:r>
        <w:t>, gilt auch bei elektronischen Dokumenten, § 8 IV GOV</w:t>
      </w:r>
    </w:p>
    <w:p w:rsidR="00FC2B1E" w:rsidRDefault="00FC2B1E" w:rsidP="00FC2B1E">
      <w:r>
        <w:t>r:</w:t>
      </w:r>
    </w:p>
    <w:p w:rsidR="00FC2B1E" w:rsidRDefault="00FC2B1E" w:rsidP="00FC2B1E">
      <w:r>
        <w:t xml:space="preserve">der Schriftsatz ist in der Eingangsmappe geordnet zu verwahren und in </w:t>
      </w:r>
      <w:proofErr w:type="spellStart"/>
      <w:r>
        <w:t>forumSTAR</w:t>
      </w:r>
      <w:proofErr w:type="spellEnd"/>
      <w:r>
        <w:t xml:space="preserve"> zu vermerken</w:t>
      </w:r>
    </w:p>
    <w:p w:rsidR="00FC2B1E" w:rsidRDefault="00FC2B1E" w:rsidP="00FC2B1E">
      <w:r>
        <w:t>eilige Schriftsätze bzw. spätestens nach drei Tagen ist der Eingang auch ohne Vorliegen der Akte dem Richter/Rechtspfleger vorzulegen, § 8 V S. 1 und 2 GOV</w:t>
      </w:r>
    </w:p>
    <w:p w:rsidR="00FC2B1E" w:rsidRDefault="00FC2B1E" w:rsidP="00FC2B1E">
      <w:r>
        <w:t>s:</w:t>
      </w:r>
    </w:p>
    <w:p w:rsidR="00FC2B1E" w:rsidRDefault="00FC2B1E" w:rsidP="00FC2B1E">
      <w:r>
        <w:t>alle Eingänge, die bis zum Dienstschluss lediglich auf Eilbedürftigkeit durchgesehen, aber nicht mehr untergebracht werden konnten, sind in der Postmappe obenauf zu verwahren – § 8 V S. 3 GOV</w:t>
      </w:r>
    </w:p>
    <w:p w:rsidR="00400093" w:rsidRDefault="00FC2B1E" w:rsidP="00FC2B1E">
      <w:r>
        <w:t xml:space="preserve">elektronische Dokumente sind stets zur </w:t>
      </w:r>
      <w:proofErr w:type="spellStart"/>
      <w:r>
        <w:t>eAkte</w:t>
      </w:r>
      <w:proofErr w:type="spellEnd"/>
      <w:r>
        <w:t xml:space="preserve"> zu nehmen und unverzüglich vorzulegen – § 8 V GOV</w:t>
      </w:r>
    </w:p>
    <w:sectPr w:rsidR="004000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1E"/>
    <w:rsid w:val="00400093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E22B"/>
  <w15:chartTrackingRefBased/>
  <w15:docId w15:val="{3757E448-9ACF-4565-B0EF-BC756A6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C2B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Simmerl-Hübner, Susanne</dc:creator>
  <cp:keywords/>
  <dc:description/>
  <cp:lastModifiedBy>Simmerl-Hübner, Susanne</cp:lastModifiedBy>
  <cp:revision>1</cp:revision>
  <dcterms:created xsi:type="dcterms:W3CDTF">2024-10-06T17:10:00Z</dcterms:created>
  <dcterms:modified xsi:type="dcterms:W3CDTF">2024-10-06T17:14:00Z</dcterms:modified>
</cp:coreProperties>
</file>