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7F" w:rsidRDefault="00DD4FCB">
      <w:pPr>
        <w:rPr>
          <w:b/>
          <w:u w:val="single"/>
        </w:rPr>
      </w:pPr>
      <w:r w:rsidRPr="00DD4FCB">
        <w:rPr>
          <w:b/>
          <w:u w:val="single"/>
        </w:rPr>
        <w:t>Lösungsansatz zur Übung 12 Fragen GG</w:t>
      </w:r>
    </w:p>
    <w:p w:rsidR="00DD4FCB" w:rsidRDefault="00DD4FCB">
      <w:pPr>
        <w:rPr>
          <w:b/>
          <w:u w:val="single"/>
        </w:rPr>
      </w:pPr>
    </w:p>
    <w:p w:rsidR="00DD4FCB" w:rsidRDefault="00DD4FCB">
      <w:r w:rsidRPr="00DD4FCB">
        <w:t>Zu 1)</w:t>
      </w:r>
      <w:r>
        <w:t xml:space="preserve">  Mit streitiger Gerichtsbarkeit sind Verfahren gemeint, bei denen sich mindestens zwei Parteien als Gegner gegenüber stehen ( Bsp. Zivilprozess, Insolvenzverfahren, Scheidung )</w:t>
      </w:r>
    </w:p>
    <w:p w:rsidR="00DD4FCB" w:rsidRDefault="00DD4FCB"/>
    <w:p w:rsidR="00DD4FCB" w:rsidRDefault="00DD4FCB">
      <w:r>
        <w:t>Zu 2) Richter, Rechtspfleger, UDG, Gerichtsvollzieher, Staatsanwalt, Amtsanwalt, Wachtmeister, Rechtsanwälte, Notare, Dolmetscher, Jugendgerichtshilfe, Schöffen, Handelsrichter</w:t>
      </w:r>
    </w:p>
    <w:p w:rsidR="00DD4FCB" w:rsidRDefault="00DD4FCB"/>
    <w:p w:rsidR="00AA2A24" w:rsidRDefault="00DD4FCB">
      <w:r>
        <w:t xml:space="preserve">Zu3) </w:t>
      </w:r>
      <w:r w:rsidR="00AA2A24">
        <w:t>Frau Zimmermann in der besonderen Gerichtsbarkeit, in diesem Fall beim Verwaltungsgericht</w:t>
      </w:r>
    </w:p>
    <w:p w:rsidR="00DD4FCB" w:rsidRDefault="00AA2A24">
      <w:r>
        <w:t xml:space="preserve">Ihre Klage einreichen. </w:t>
      </w:r>
    </w:p>
    <w:p w:rsidR="00AA2A24" w:rsidRDefault="00AA2A24"/>
    <w:p w:rsidR="00DD4FCB" w:rsidRDefault="00DD4FCB">
      <w:r>
        <w:t>Zu4) Beim Landgericht gem. § 72 GVG, beim OLG/KG gem. § 119 Abs. 1 GVG</w:t>
      </w:r>
    </w:p>
    <w:p w:rsidR="00DD4FCB" w:rsidRDefault="00DD4FCB"/>
    <w:p w:rsidR="00DD4FCB" w:rsidRDefault="00DD4FCB">
      <w:r>
        <w:t xml:space="preserve">Zu5) </w:t>
      </w:r>
      <w:r w:rsidR="00AA2A24">
        <w:t>Herr Ungeduld muss ein Mahnverfahren beim Amtsgericht (Mahngericht) einleiten</w:t>
      </w:r>
    </w:p>
    <w:p w:rsidR="00AA2A24" w:rsidRDefault="00AA2A24"/>
    <w:p w:rsidR="00AA2A24" w:rsidRDefault="00AA2A24">
      <w:r>
        <w:t>Zu 6) Die örtliche Zuständigkeit wird durch den allgemeinen Gerichtsstand begründet, dies kann der Wohnort, aber auch der Erfüllungsort oder ein anderer Gerichtsstand sein. Die örtliche Zuständigkeit ist in der ZPO geregelt.</w:t>
      </w:r>
    </w:p>
    <w:p w:rsidR="00AA2A24" w:rsidRDefault="00AA2A24"/>
    <w:p w:rsidR="00AA2A24" w:rsidRDefault="00AA2A24">
      <w:r>
        <w:t>Zu7) a) Zivilprozess</w:t>
      </w:r>
    </w:p>
    <w:p w:rsidR="00AA2A24" w:rsidRDefault="00AA2A24">
      <w:r>
        <w:t xml:space="preserve">         b) Mahnverfahren, Prozesskostenhilfeverfahren</w:t>
      </w:r>
    </w:p>
    <w:p w:rsidR="00AA2A24" w:rsidRDefault="00AA2A24">
      <w:r>
        <w:t xml:space="preserve">         c) Hauptverfahren Strafprozess</w:t>
      </w:r>
    </w:p>
    <w:p w:rsidR="00AA2A24" w:rsidRDefault="00AA2A24">
      <w:r>
        <w:t xml:space="preserve">         d) Nachlass</w:t>
      </w:r>
    </w:p>
    <w:p w:rsidR="00AA2A24" w:rsidRDefault="00AA2A24">
      <w:r>
        <w:t xml:space="preserve"> </w:t>
      </w:r>
    </w:p>
    <w:p w:rsidR="00AA2A24" w:rsidRDefault="00AA2A24"/>
    <w:p w:rsidR="00AA2A24" w:rsidRDefault="00AA2A24">
      <w:r>
        <w:t>zu 8) Amtsanwaltschaft, Staatsanwaltschaft, Generalstaatsanwaltschaft</w:t>
      </w:r>
    </w:p>
    <w:p w:rsidR="00AA2A24" w:rsidRDefault="00AA2A24"/>
    <w:p w:rsidR="00AA2A24" w:rsidRDefault="00AA2A24">
      <w:r>
        <w:t>zu 9</w:t>
      </w:r>
      <w:r w:rsidR="002F0622">
        <w:t>A</w:t>
      </w:r>
      <w:r>
        <w:t>) Das Präsidium eines Gerichts ist ein Gremium, dass zum Bespiel: die Besetzung der Spruchkörper bestimmt, den Ermittlungsrichter bestimmt, den GESCHÄFTSPLAN erstellt. Es besteht je nach Größe des Gerichts (Richterplanstellen)</w:t>
      </w:r>
      <w:r w:rsidR="002F0622">
        <w:t xml:space="preserve"> aus einer bestimmten Anzahl von gewählten Richtern. </w:t>
      </w:r>
    </w:p>
    <w:p w:rsidR="002F0622" w:rsidRDefault="002F0622">
      <w:r>
        <w:t>Zu 9B) §§ 21a – j GVG</w:t>
      </w:r>
    </w:p>
    <w:p w:rsidR="002F0622" w:rsidRDefault="002F0622"/>
    <w:p w:rsidR="002F0622" w:rsidRDefault="002F0622">
      <w:r>
        <w:t xml:space="preserve">Zu10) Ein Geschäftsplan ist ein Regelwerk innerhalb eines Gerichts die Geschäfte und Aufgaben  zu verteilen, Vertretungen zu regeln und den gesetzlichen Richter zu garantieren. Es gibt 3 </w:t>
      </w:r>
      <w:r>
        <w:lastRenderedPageBreak/>
        <w:t>unterschiedliche Geschäftsverteilungspläne: für Richter, Rechtspfleger und die Verwaltung eines Gerichts.</w:t>
      </w:r>
    </w:p>
    <w:p w:rsidR="002F0622" w:rsidRDefault="002F0622"/>
    <w:p w:rsidR="002F0622" w:rsidRDefault="002F0622" w:rsidP="002F0622">
      <w:r>
        <w:t xml:space="preserve">Zu 11) Ein </w:t>
      </w:r>
      <w:proofErr w:type="spellStart"/>
      <w:r>
        <w:t>Präsentat</w:t>
      </w:r>
      <w:proofErr w:type="spellEnd"/>
      <w:r>
        <w:t xml:space="preserve"> gibt Auskunft darüber, wann ein Schriftstück bei Gericht eingeht, es dient der Nachvollziehung von Abläufen und der Wahrung von Fristen</w:t>
      </w:r>
    </w:p>
    <w:p w:rsidR="002F0622" w:rsidRDefault="002F0622" w:rsidP="002F0622"/>
    <w:p w:rsidR="002F0622" w:rsidRPr="00786A8E" w:rsidRDefault="002F0622" w:rsidP="00786A8E">
      <w:pPr>
        <w:rPr>
          <w:color w:val="FFFFFF"/>
          <w:sz w:val="32"/>
        </w:rPr>
      </w:pPr>
      <w:bookmarkStart w:id="0" w:name="_GoBack"/>
      <w:bookmarkEnd w:id="0"/>
      <w:r>
        <w:t xml:space="preserve">Zu 12) Posteingänge sind alle Dokumente, </w:t>
      </w:r>
      <w:r w:rsidR="00786A8E">
        <w:t xml:space="preserve">die </w:t>
      </w:r>
      <w:r>
        <w:t>elektronisch oder in Papierform</w:t>
      </w:r>
      <w:r w:rsidR="00786A8E">
        <w:t xml:space="preserve"> zugeleitet werden.</w:t>
      </w:r>
    </w:p>
    <w:p w:rsidR="002F0622" w:rsidRDefault="002F0622" w:rsidP="002F0622"/>
    <w:p w:rsidR="002F0622" w:rsidRDefault="002F0622"/>
    <w:p w:rsidR="002F0622" w:rsidRPr="00DD4FCB" w:rsidRDefault="002F0622"/>
    <w:sectPr w:rsidR="002F0622" w:rsidRPr="00DD4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3E46"/>
    <w:multiLevelType w:val="hybridMultilevel"/>
    <w:tmpl w:val="A3B28CCE"/>
    <w:lvl w:ilvl="0" w:tplc="558C771C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123E9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A67922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365920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992A29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8297DA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25C9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F7AB68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5B8849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77387D2A"/>
    <w:multiLevelType w:val="hybridMultilevel"/>
    <w:tmpl w:val="FF6A41AE"/>
    <w:lvl w:ilvl="0" w:tplc="2104DEBA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1563F7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6688F5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6E4B4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6FEE662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D923B4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0A8B82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F18501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847516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FCB"/>
    <w:rsid w:val="002F0622"/>
    <w:rsid w:val="00531B7F"/>
    <w:rsid w:val="00786A8E"/>
    <w:rsid w:val="00AA2A24"/>
    <w:rsid w:val="00C10AE0"/>
    <w:rsid w:val="00DD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FAA72"/>
  <w15:chartTrackingRefBased/>
  <w15:docId w15:val="{69C3FE51-4DE1-45C6-96EB-97C3153D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06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2344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676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181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5058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Neuendorf-Schulz, Simone</dc:creator>
  <cp:keywords/>
  <dc:description/>
  <cp:lastModifiedBy>Neuendorf-Schulz, Simone</cp:lastModifiedBy>
  <cp:revision>1</cp:revision>
  <dcterms:created xsi:type="dcterms:W3CDTF">2024-10-25T10:27:00Z</dcterms:created>
  <dcterms:modified xsi:type="dcterms:W3CDTF">2024-10-25T10:59:00Z</dcterms:modified>
</cp:coreProperties>
</file>