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Schlusskostenrechnung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43546" w:rsidP="00825433">
      <w:r>
        <w:t xml:space="preserve">Frau </w:t>
      </w:r>
      <w:r w:rsidR="007C25D1">
        <w:t>Müller</w:t>
      </w:r>
      <w:r>
        <w:t xml:space="preserve">, vertreten durch Rechtsanwältin </w:t>
      </w:r>
      <w:r w:rsidR="007C25D1">
        <w:t>Ruhr</w:t>
      </w:r>
      <w:r w:rsidR="00F13E8A">
        <w:t xml:space="preserve">, reicht Klage gegen </w:t>
      </w:r>
      <w:r w:rsidR="007C25D1">
        <w:t>Herrn Meier</w:t>
      </w:r>
      <w:r w:rsidR="00F13E8A">
        <w:t xml:space="preserve"> ü</w:t>
      </w:r>
      <w:r w:rsidR="004C3792">
        <w:t xml:space="preserve">ber eine Forderung in Höhe von </w:t>
      </w:r>
      <w:r w:rsidR="007C25D1">
        <w:t>22</w:t>
      </w:r>
      <w:r w:rsidR="00F13E8A">
        <w:t>.</w:t>
      </w:r>
      <w:r w:rsidR="007C25D1">
        <w:t>001</w:t>
      </w:r>
      <w:r w:rsidR="00F13E8A">
        <w:t xml:space="preserve"> EUR ein.</w:t>
      </w:r>
    </w:p>
    <w:p w:rsidR="00612BFB" w:rsidRDefault="008F4810" w:rsidP="00825433">
      <w:r>
        <w:t>Auf Antrag des</w:t>
      </w:r>
      <w:r w:rsidR="005A554F">
        <w:t xml:space="preserve"> Beklagten, nun</w:t>
      </w:r>
      <w:r w:rsidR="007C25D1">
        <w:t xml:space="preserve"> vertreten durch Rechtsanwalt Krüger</w:t>
      </w:r>
      <w:r w:rsidR="005A554F">
        <w:t xml:space="preserve">, wird die Sachverständige </w:t>
      </w:r>
      <w:r w:rsidR="007C25D1">
        <w:t xml:space="preserve">Neumann </w:t>
      </w:r>
      <w:r w:rsidR="005A554F">
        <w:t>geladen. Für Sie wu</w:t>
      </w:r>
      <w:r w:rsidR="007C25D1">
        <w:t>rde ein Vorschuss in Höhe von 450</w:t>
      </w:r>
      <w:r w:rsidR="005A554F">
        <w:t>,00 EUR eingezahlt. Dazu erging ein Beweisbeschluss.</w:t>
      </w:r>
    </w:p>
    <w:p w:rsidR="00543FC8" w:rsidRDefault="0018391A" w:rsidP="00825433">
      <w:r>
        <w:t>Das Gericht beraumt schließlich einen Termin zur mündlichen Verhandlung an. In diesem Termin w</w:t>
      </w:r>
      <w:r w:rsidR="00A43546">
        <w:t xml:space="preserve">ird </w:t>
      </w:r>
      <w:r w:rsidR="003473B0">
        <w:t xml:space="preserve">die </w:t>
      </w:r>
      <w:r w:rsidR="005A554F">
        <w:t>Sachverständige</w:t>
      </w:r>
      <w:r>
        <w:t xml:space="preserve"> gehört, es wird streitig verhandelt und sodann ein Termin zur Verkündung einer Entscheidung anberaumt.</w:t>
      </w:r>
    </w:p>
    <w:p w:rsidR="008F4810" w:rsidRDefault="007C25D1" w:rsidP="006D495E">
      <w:r>
        <w:t>Am folgenden Tag nimmt Rechtsanwältin Ruhr, für ihre Mandantin</w:t>
      </w:r>
      <w:r w:rsidR="008F4810">
        <w:t>, die Klage zurück.</w:t>
      </w:r>
    </w:p>
    <w:p w:rsidR="008F4810" w:rsidRDefault="008F4810" w:rsidP="008F4810">
      <w:r>
        <w:t>Der Beklagte stimmt, durch seinen Anwalt, zu und beantragt, der Klägerin die Kosten des Rechtsstreits aufzuerlegen. Es ergeht eine entsprechende Kostenentscheidung mit Beschluss.</w:t>
      </w:r>
    </w:p>
    <w:p w:rsidR="00740394" w:rsidRDefault="00583910" w:rsidP="006D495E">
      <w:r>
        <w:t xml:space="preserve">Der </w:t>
      </w:r>
      <w:r w:rsidR="008F4810">
        <w:t>Sachverständige wird antragsgemäß in Höhe von 534,00 EUR entschädigt.</w:t>
      </w:r>
      <w:r w:rsidR="007C25D1">
        <w:t xml:space="preserve"> </w:t>
      </w:r>
    </w:p>
    <w:p w:rsidR="00740394" w:rsidRDefault="00740394" w:rsidP="006D495E"/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Schlusskostenrechnung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8F4810" w:rsidRDefault="00583910" w:rsidP="00583910">
      <w:r>
        <w:t xml:space="preserve">Herr Rot </w:t>
      </w:r>
      <w:r w:rsidR="008F4810">
        <w:t xml:space="preserve">reicht Klage gegen Herrn </w:t>
      </w:r>
      <w:r>
        <w:t>Braun</w:t>
      </w:r>
      <w:r w:rsidR="008F4810">
        <w:t xml:space="preserve"> über eine Forderung in Höhe von </w:t>
      </w:r>
      <w:r>
        <w:t>2.340</w:t>
      </w:r>
      <w:r w:rsidR="008F4810">
        <w:t xml:space="preserve"> EUR ein.</w:t>
      </w:r>
    </w:p>
    <w:p w:rsidR="006D495E" w:rsidRDefault="006D495E" w:rsidP="006D495E">
      <w:r>
        <w:t>Auf Antrag des Beklagten wird ein</w:t>
      </w:r>
      <w:r w:rsidR="001671E0">
        <w:t>e</w:t>
      </w:r>
      <w:r>
        <w:t xml:space="preserve"> Zeugin geladen. Für sie wurde e</w:t>
      </w:r>
      <w:r w:rsidR="00D63293">
        <w:t>in Zeugenvorschuss in Höhe von 1</w:t>
      </w:r>
      <w:r w:rsidR="00583910">
        <w:t>30</w:t>
      </w:r>
      <w:r>
        <w:t>,00 EUR eingezahlt. Dazu erging ein Beweisbeschluss.</w:t>
      </w:r>
    </w:p>
    <w:p w:rsidR="006D495E" w:rsidRDefault="00583910" w:rsidP="006D495E">
      <w:r>
        <w:t>Noch vor dem Termin, nimmt der Kläger die Klage zurück. Der Termin wird aufgehoben und die Zeugin wird abgeladen.</w:t>
      </w:r>
    </w:p>
    <w:p w:rsidR="001671E0" w:rsidRDefault="001671E0" w:rsidP="006D495E"/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lastRenderedPageBreak/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1671E0" w:rsidRDefault="001671E0" w:rsidP="001671E0">
      <w:r>
        <w:t xml:space="preserve">Frau </w:t>
      </w:r>
      <w:r w:rsidR="00583910">
        <w:t>Fliege</w:t>
      </w:r>
      <w:r w:rsidR="005A1FFC">
        <w:t xml:space="preserve"> und Herr Käfer</w:t>
      </w:r>
      <w:r>
        <w:t>, vertreten durch Rechtsanwältin</w:t>
      </w:r>
      <w:r w:rsidR="00CC7970">
        <w:t xml:space="preserve"> </w:t>
      </w:r>
      <w:r w:rsidR="00C26761">
        <w:t>B</w:t>
      </w:r>
      <w:r w:rsidR="00583910">
        <w:t>iene</w:t>
      </w:r>
      <w:r w:rsidR="005A1FFC">
        <w:t xml:space="preserve">, reichen als Klägerin zu 1) und Kläger zu 2), </w:t>
      </w:r>
      <w:r>
        <w:t xml:space="preserve">Klage gegen Herrn </w:t>
      </w:r>
      <w:r w:rsidR="00C26761">
        <w:t>W</w:t>
      </w:r>
      <w:r w:rsidR="005A1FFC">
        <w:t>urm</w:t>
      </w:r>
      <w:r>
        <w:t xml:space="preserve"> über eine Forderung in Höhe von</w:t>
      </w:r>
      <w:r w:rsidR="005A46A8">
        <w:t xml:space="preserve"> </w:t>
      </w:r>
      <w:r w:rsidR="005A1FFC">
        <w:t>1</w:t>
      </w:r>
      <w:r w:rsidR="00C26761">
        <w:t>6</w:t>
      </w:r>
      <w:r w:rsidR="00CC7970">
        <w:t>.</w:t>
      </w:r>
      <w:r w:rsidR="005A1FFC">
        <w:t>8</w:t>
      </w:r>
      <w:r w:rsidR="00CC7970">
        <w:t>00</w:t>
      </w:r>
      <w:r>
        <w:t xml:space="preserve"> EUR ein.</w:t>
      </w:r>
    </w:p>
    <w:p w:rsidR="00DE4969" w:rsidRDefault="00DE4969" w:rsidP="001671E0">
      <w:r>
        <w:t>Das Gericht beraumt frühen ersten Termin an. In dem Termin schließen die Parteien folgenden Vergleich:</w:t>
      </w:r>
    </w:p>
    <w:p w:rsidR="005A46A8" w:rsidRDefault="00DE4969" w:rsidP="001671E0">
      <w:r>
        <w:t xml:space="preserve"> </w:t>
      </w:r>
      <w:r w:rsidR="001671E0">
        <w:t xml:space="preserve">„1. Der Beklagte </w:t>
      </w:r>
      <w:r>
        <w:t>zahlt</w:t>
      </w:r>
      <w:r w:rsidR="001671E0">
        <w:t xml:space="preserve"> an d</w:t>
      </w:r>
      <w:r w:rsidR="005A1FFC">
        <w:t>ie</w:t>
      </w:r>
      <w:r w:rsidR="001671E0">
        <w:t xml:space="preserve"> Kläger eine Summe in Höhe von </w:t>
      </w:r>
      <w:r w:rsidR="005A1FFC">
        <w:t>1</w:t>
      </w:r>
      <w:r w:rsidR="005A46A8">
        <w:t>5</w:t>
      </w:r>
      <w:r w:rsidR="001671E0">
        <w:t>.</w:t>
      </w:r>
      <w:r w:rsidR="00026577">
        <w:t>890 EUR.</w:t>
      </w:r>
      <w:r w:rsidR="005A46A8">
        <w:t xml:space="preserve"> </w:t>
      </w:r>
    </w:p>
    <w:p w:rsidR="001671E0" w:rsidRDefault="001671E0" w:rsidP="001671E0">
      <w:r>
        <w:t>2</w:t>
      </w:r>
      <w:r w:rsidR="005A46A8">
        <w:t xml:space="preserve">. Die Kosten des Rechtsstreits </w:t>
      </w:r>
      <w:r w:rsidR="005A1FFC">
        <w:t>tragen die Klägerin zu 1) mit 25%, der Kläger zu2) mit 25% und der Beklagte zu 50%</w:t>
      </w:r>
      <w:r>
        <w:t>...“</w:t>
      </w:r>
    </w:p>
    <w:p w:rsidR="00C26761" w:rsidRDefault="00C26761" w:rsidP="001671E0"/>
    <w:p w:rsidR="00C26761" w:rsidRPr="006D495E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4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C26761" w:rsidRPr="004C3792" w:rsidRDefault="00C26761" w:rsidP="00C26761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C26761" w:rsidRPr="004C3792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C26761" w:rsidRPr="004C3792" w:rsidRDefault="00C26761" w:rsidP="00C267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C26761" w:rsidRPr="00FA65D6" w:rsidRDefault="00C26761" w:rsidP="00C26761">
      <w:pPr>
        <w:pStyle w:val="Listenabsatz"/>
        <w:numPr>
          <w:ilvl w:val="0"/>
          <w:numId w:val="7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C26761" w:rsidRDefault="00C26761" w:rsidP="00C26761">
      <w:pPr>
        <w:ind w:firstLine="425"/>
      </w:pPr>
      <w:r w:rsidRPr="00C26761">
        <w:rPr>
          <w:sz w:val="24"/>
          <w:szCs w:val="24"/>
        </w:rPr>
        <w:t>c.</w:t>
      </w:r>
      <w:r>
        <w:rPr>
          <w:b/>
          <w:sz w:val="24"/>
          <w:szCs w:val="24"/>
        </w:rPr>
        <w:t xml:space="preserve"> </w:t>
      </w:r>
      <w:r w:rsidR="005D359D">
        <w:rPr>
          <w:b/>
          <w:sz w:val="24"/>
          <w:szCs w:val="24"/>
        </w:rPr>
        <w:t xml:space="preserve">   </w:t>
      </w: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</w:p>
    <w:p w:rsidR="005A1FFC" w:rsidRDefault="005A1FFC" w:rsidP="00C26761">
      <w:r>
        <w:t>Herr Hermann</w:t>
      </w:r>
      <w:r w:rsidR="00C26761">
        <w:t xml:space="preserve">, vertreten durch Rechtsanwalt Rüdiger, legt Klage gegen Frau </w:t>
      </w:r>
      <w:proofErr w:type="spellStart"/>
      <w:r>
        <w:t>Idermann</w:t>
      </w:r>
      <w:proofErr w:type="spellEnd"/>
      <w:r w:rsidR="00C26761">
        <w:t xml:space="preserve"> ein.</w:t>
      </w:r>
      <w:r w:rsidR="00055D86">
        <w:t xml:space="preserve"> </w:t>
      </w:r>
      <w:bookmarkStart w:id="0" w:name="_GoBack"/>
      <w:bookmarkEnd w:id="0"/>
      <w:r>
        <w:t xml:space="preserve">Es geht um eine Schadenersatzforderung aus einem Verkehrsunfall, über eine Forderung von 4.800 EUR. Frau </w:t>
      </w:r>
      <w:proofErr w:type="spellStart"/>
      <w:r>
        <w:t>Idermann</w:t>
      </w:r>
      <w:proofErr w:type="spellEnd"/>
      <w:r>
        <w:t>, nun vertreten durch Rechtsanwältin Jäger, legt Widerklage ein. Sie fordert ebenfalls einen Schadenersatz in Höhe von 3.700 EUR.</w:t>
      </w:r>
    </w:p>
    <w:p w:rsidR="005D359D" w:rsidRDefault="005D359D" w:rsidP="00C26761">
      <w:r>
        <w:t>Das Gericht beraumt einen frühen ersten Termin an, in dem folgendes Urteil ergeht:</w:t>
      </w:r>
    </w:p>
    <w:p w:rsidR="005D359D" w:rsidRDefault="005D359D" w:rsidP="00C26761">
      <w:r>
        <w:t>„1. Die Beklagte</w:t>
      </w:r>
      <w:r w:rsidR="005A1FFC">
        <w:t xml:space="preserve"> und Widerklägerin</w:t>
      </w:r>
      <w:r>
        <w:t xml:space="preserve"> zahlt an den Kläger </w:t>
      </w:r>
      <w:r w:rsidR="005A1FFC">
        <w:t>4.800</w:t>
      </w:r>
      <w:r>
        <w:t>,00 EUR, zum Ausgleich der Forderung.</w:t>
      </w:r>
    </w:p>
    <w:p w:rsidR="00E76867" w:rsidRDefault="005A1FFC" w:rsidP="00C26761">
      <w:r>
        <w:t xml:space="preserve"> 2. D</w:t>
      </w:r>
      <w:r w:rsidR="00E76867">
        <w:t>ie Widerklage wird abgewiesen.</w:t>
      </w:r>
    </w:p>
    <w:p w:rsidR="00DB5F1D" w:rsidRPr="00DB5F1D" w:rsidRDefault="00E76867" w:rsidP="00DB5F1D">
      <w:r>
        <w:t xml:space="preserve"> </w:t>
      </w:r>
      <w:r w:rsidR="005D359D">
        <w:t>3. Die Kosten des Rechtsstreits trägt die Beklagte</w:t>
      </w:r>
      <w:r>
        <w:t xml:space="preserve"> und Widerklägerin</w:t>
      </w:r>
      <w:r w:rsidR="005D359D">
        <w:t>.“</w:t>
      </w:r>
    </w:p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50" w:rsidRDefault="00C04750" w:rsidP="00ED41C3">
      <w:pPr>
        <w:spacing w:after="0" w:line="240" w:lineRule="auto"/>
      </w:pPr>
      <w:r>
        <w:separator/>
      </w:r>
    </w:p>
  </w:endnote>
  <w:endnote w:type="continuationSeparator" w:id="0">
    <w:p w:rsidR="00C04750" w:rsidRDefault="00C04750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AD" w:rsidRDefault="00D26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D63293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D26CAD">
            <w:rPr>
              <w:sz w:val="18"/>
              <w:szCs w:val="18"/>
            </w:rPr>
            <w:t>4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AD" w:rsidRDefault="00D26C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50" w:rsidRDefault="00C04750" w:rsidP="00ED41C3">
      <w:pPr>
        <w:spacing w:after="0" w:line="240" w:lineRule="auto"/>
      </w:pPr>
      <w:r>
        <w:separator/>
      </w:r>
    </w:p>
  </w:footnote>
  <w:footnote w:type="continuationSeparator" w:id="0">
    <w:p w:rsidR="00C04750" w:rsidRDefault="00C04750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AD" w:rsidRDefault="00D26C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D26CAD">
          <w:pPr>
            <w:pStyle w:val="Kopfzeile"/>
          </w:pPr>
          <w:r>
            <w:t>Ü0</w:t>
          </w:r>
          <w:r w:rsidR="00A43546">
            <w:t>2</w:t>
          </w:r>
          <w:r w:rsidR="00D26CAD">
            <w:t>4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AD" w:rsidRDefault="00D26C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E3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26577"/>
    <w:rsid w:val="00055D86"/>
    <w:rsid w:val="000806D6"/>
    <w:rsid w:val="00093F6E"/>
    <w:rsid w:val="000A47B8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2727C1"/>
    <w:rsid w:val="00342887"/>
    <w:rsid w:val="003473B0"/>
    <w:rsid w:val="00352A26"/>
    <w:rsid w:val="003D288F"/>
    <w:rsid w:val="00402390"/>
    <w:rsid w:val="00415905"/>
    <w:rsid w:val="00436156"/>
    <w:rsid w:val="00463CBC"/>
    <w:rsid w:val="004C3792"/>
    <w:rsid w:val="004D0A66"/>
    <w:rsid w:val="004E3522"/>
    <w:rsid w:val="004F0927"/>
    <w:rsid w:val="00532D15"/>
    <w:rsid w:val="00543FC8"/>
    <w:rsid w:val="005608CB"/>
    <w:rsid w:val="00566509"/>
    <w:rsid w:val="00572224"/>
    <w:rsid w:val="00583910"/>
    <w:rsid w:val="005A1FFC"/>
    <w:rsid w:val="005A46A8"/>
    <w:rsid w:val="005A554F"/>
    <w:rsid w:val="005B303C"/>
    <w:rsid w:val="005D359D"/>
    <w:rsid w:val="005F71A4"/>
    <w:rsid w:val="00607432"/>
    <w:rsid w:val="00612BFB"/>
    <w:rsid w:val="00670AB9"/>
    <w:rsid w:val="00697CA6"/>
    <w:rsid w:val="006A0381"/>
    <w:rsid w:val="006B7931"/>
    <w:rsid w:val="006D495E"/>
    <w:rsid w:val="006E04AE"/>
    <w:rsid w:val="00700044"/>
    <w:rsid w:val="00740394"/>
    <w:rsid w:val="0079723C"/>
    <w:rsid w:val="007A0C85"/>
    <w:rsid w:val="007A467F"/>
    <w:rsid w:val="007C040A"/>
    <w:rsid w:val="007C25D1"/>
    <w:rsid w:val="007C5D44"/>
    <w:rsid w:val="007E20C2"/>
    <w:rsid w:val="007F308D"/>
    <w:rsid w:val="008054E0"/>
    <w:rsid w:val="00824410"/>
    <w:rsid w:val="00825433"/>
    <w:rsid w:val="00894A0F"/>
    <w:rsid w:val="008D0C88"/>
    <w:rsid w:val="008F16E6"/>
    <w:rsid w:val="008F4810"/>
    <w:rsid w:val="00974D7A"/>
    <w:rsid w:val="00A15D38"/>
    <w:rsid w:val="00A43546"/>
    <w:rsid w:val="00A95996"/>
    <w:rsid w:val="00A96757"/>
    <w:rsid w:val="00AE28DF"/>
    <w:rsid w:val="00B32AFC"/>
    <w:rsid w:val="00B563B7"/>
    <w:rsid w:val="00B6365C"/>
    <w:rsid w:val="00BB393E"/>
    <w:rsid w:val="00BF11F0"/>
    <w:rsid w:val="00BF4844"/>
    <w:rsid w:val="00BF63FC"/>
    <w:rsid w:val="00C04750"/>
    <w:rsid w:val="00C107F5"/>
    <w:rsid w:val="00C26761"/>
    <w:rsid w:val="00C82788"/>
    <w:rsid w:val="00CC7970"/>
    <w:rsid w:val="00CD4AA0"/>
    <w:rsid w:val="00D26CAD"/>
    <w:rsid w:val="00D567F9"/>
    <w:rsid w:val="00D63293"/>
    <w:rsid w:val="00D65859"/>
    <w:rsid w:val="00D9610A"/>
    <w:rsid w:val="00DB5F1D"/>
    <w:rsid w:val="00DE4969"/>
    <w:rsid w:val="00E746D5"/>
    <w:rsid w:val="00E76867"/>
    <w:rsid w:val="00EA6D81"/>
    <w:rsid w:val="00ED41C3"/>
    <w:rsid w:val="00F07A74"/>
    <w:rsid w:val="00F13E8A"/>
    <w:rsid w:val="00F3178A"/>
    <w:rsid w:val="00FA65D6"/>
    <w:rsid w:val="00FD061F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24365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11</cp:revision>
  <cp:lastPrinted>2024-05-23T08:57:00Z</cp:lastPrinted>
  <dcterms:created xsi:type="dcterms:W3CDTF">2024-05-13T12:32:00Z</dcterms:created>
  <dcterms:modified xsi:type="dcterms:W3CDTF">2024-05-28T04:40:00Z</dcterms:modified>
</cp:coreProperties>
</file>