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CF" w:rsidRPr="00AE19B6" w:rsidRDefault="00C306CF" w:rsidP="005D76C5">
      <w:pPr>
        <w:rPr>
          <w:rFonts w:ascii="Arial" w:hAnsi="Arial" w:cs="Arial"/>
          <w:sz w:val="22"/>
          <w:szCs w:val="22"/>
        </w:rPr>
      </w:pPr>
      <w:r w:rsidRPr="00AE19B6">
        <w:rPr>
          <w:rFonts w:ascii="Arial" w:hAnsi="Arial" w:cs="Arial"/>
          <w:sz w:val="22"/>
          <w:szCs w:val="22"/>
        </w:rPr>
        <w:t>Der Präsident des Kammergerichts</w:t>
      </w:r>
      <w:r w:rsidRPr="00AE19B6">
        <w:rPr>
          <w:rFonts w:ascii="Arial" w:hAnsi="Arial" w:cs="Arial"/>
          <w:sz w:val="22"/>
          <w:szCs w:val="22"/>
        </w:rPr>
        <w:br/>
        <w:t>Referat für Aus- und Fortbildung</w:t>
      </w:r>
    </w:p>
    <w:p w:rsidR="000A5BCF" w:rsidRPr="00AE19B6" w:rsidRDefault="00C306CF" w:rsidP="005D76C5">
      <w:pPr>
        <w:rPr>
          <w:rFonts w:ascii="Arial" w:hAnsi="Arial" w:cs="Arial"/>
          <w:sz w:val="22"/>
          <w:szCs w:val="22"/>
        </w:rPr>
      </w:pPr>
      <w:r w:rsidRPr="00AE19B6">
        <w:rPr>
          <w:rFonts w:ascii="Arial" w:hAnsi="Arial" w:cs="Arial"/>
          <w:sz w:val="22"/>
          <w:szCs w:val="22"/>
        </w:rPr>
        <w:t>2326 E</w:t>
      </w:r>
      <w:r w:rsidR="00DE55BC">
        <w:rPr>
          <w:rFonts w:ascii="Arial" w:hAnsi="Arial" w:cs="Arial"/>
          <w:sz w:val="22"/>
          <w:szCs w:val="22"/>
        </w:rPr>
        <w:t xml:space="preserve"> </w:t>
      </w:r>
      <w:r w:rsidRPr="00AE19B6">
        <w:rPr>
          <w:rFonts w:ascii="Arial" w:hAnsi="Arial" w:cs="Arial"/>
          <w:sz w:val="22"/>
          <w:szCs w:val="22"/>
        </w:rPr>
        <w:t>-</w:t>
      </w:r>
      <w:r w:rsidR="00DE55BC">
        <w:rPr>
          <w:rFonts w:ascii="Arial" w:hAnsi="Arial" w:cs="Arial"/>
          <w:sz w:val="22"/>
          <w:szCs w:val="22"/>
        </w:rPr>
        <w:t xml:space="preserve"> </w:t>
      </w:r>
      <w:r w:rsidRPr="00AE19B6">
        <w:rPr>
          <w:rFonts w:ascii="Arial" w:hAnsi="Arial" w:cs="Arial"/>
          <w:sz w:val="22"/>
          <w:szCs w:val="22"/>
        </w:rPr>
        <w:t>A 21</w:t>
      </w:r>
    </w:p>
    <w:p w:rsidR="000A5BCF" w:rsidRPr="00AE19B6" w:rsidRDefault="000A5BCF" w:rsidP="005D76C5">
      <w:pPr>
        <w:rPr>
          <w:rFonts w:ascii="Arial" w:hAnsi="Arial" w:cs="Arial"/>
          <w:sz w:val="22"/>
          <w:szCs w:val="22"/>
        </w:rPr>
      </w:pPr>
    </w:p>
    <w:p w:rsidR="000A5BCF" w:rsidRPr="00AE19B6" w:rsidRDefault="000A5BCF" w:rsidP="005D76C5">
      <w:pPr>
        <w:rPr>
          <w:rFonts w:ascii="Arial" w:hAnsi="Arial" w:cs="Arial"/>
          <w:sz w:val="22"/>
          <w:szCs w:val="22"/>
        </w:rPr>
      </w:pPr>
    </w:p>
    <w:p w:rsidR="000A5BCF" w:rsidRPr="00AE19B6" w:rsidRDefault="000A5BCF" w:rsidP="005D76C5">
      <w:pPr>
        <w:rPr>
          <w:rFonts w:ascii="Arial" w:hAnsi="Arial" w:cs="Arial"/>
          <w:sz w:val="22"/>
          <w:szCs w:val="22"/>
        </w:rPr>
      </w:pPr>
    </w:p>
    <w:p w:rsidR="000A5BCF" w:rsidRPr="00AE19B6" w:rsidRDefault="000A5BCF" w:rsidP="005D76C5">
      <w:pPr>
        <w:rPr>
          <w:rFonts w:ascii="Arial" w:hAnsi="Arial" w:cs="Arial"/>
          <w:sz w:val="22"/>
          <w:szCs w:val="22"/>
        </w:rPr>
      </w:pPr>
    </w:p>
    <w:p w:rsidR="000A5BCF" w:rsidRPr="00AE19B6" w:rsidRDefault="00C306CF" w:rsidP="00AE19B6">
      <w:pPr>
        <w:jc w:val="center"/>
        <w:rPr>
          <w:rFonts w:ascii="Arial" w:hAnsi="Arial" w:cs="Arial"/>
          <w:b/>
          <w:sz w:val="22"/>
          <w:szCs w:val="22"/>
        </w:rPr>
      </w:pPr>
      <w:r w:rsidRPr="00AE19B6">
        <w:rPr>
          <w:rFonts w:ascii="Arial" w:hAnsi="Arial" w:cs="Arial"/>
          <w:b/>
          <w:sz w:val="32"/>
          <w:szCs w:val="22"/>
        </w:rPr>
        <w:t xml:space="preserve">Lehrplan für das </w:t>
      </w:r>
      <w:r w:rsidR="00AE19B6">
        <w:rPr>
          <w:rFonts w:ascii="Arial" w:hAnsi="Arial" w:cs="Arial"/>
          <w:b/>
          <w:sz w:val="32"/>
          <w:szCs w:val="22"/>
        </w:rPr>
        <w:t xml:space="preserve">Fach </w:t>
      </w:r>
      <w:proofErr w:type="spellStart"/>
      <w:r w:rsidR="00AE19B6">
        <w:rPr>
          <w:rFonts w:ascii="Arial" w:hAnsi="Arial" w:cs="Arial"/>
          <w:b/>
          <w:sz w:val="32"/>
          <w:szCs w:val="22"/>
        </w:rPr>
        <w:t>Geschäftsgangsbestimmungen</w:t>
      </w:r>
      <w:proofErr w:type="spellEnd"/>
    </w:p>
    <w:p w:rsidR="000A5BCF" w:rsidRPr="00AE19B6" w:rsidRDefault="00C306CF" w:rsidP="00AE19B6">
      <w:pPr>
        <w:jc w:val="center"/>
        <w:rPr>
          <w:rFonts w:ascii="Arial" w:hAnsi="Arial" w:cs="Arial"/>
          <w:b/>
          <w:sz w:val="22"/>
          <w:szCs w:val="22"/>
        </w:rPr>
      </w:pPr>
      <w:r w:rsidRPr="00AE19B6">
        <w:rPr>
          <w:rFonts w:ascii="Arial" w:hAnsi="Arial" w:cs="Arial"/>
          <w:b/>
          <w:sz w:val="22"/>
          <w:szCs w:val="22"/>
        </w:rPr>
        <w:t>Im Vorbereitungsdienst für die Laufbahn des allgemeinen Justizdienstes</w:t>
      </w:r>
    </w:p>
    <w:p w:rsidR="000A5BCF" w:rsidRPr="00AE19B6" w:rsidRDefault="000A5BCF" w:rsidP="005D76C5">
      <w:pPr>
        <w:rPr>
          <w:rFonts w:ascii="Arial" w:hAnsi="Arial" w:cs="Arial"/>
          <w:b/>
          <w:sz w:val="22"/>
          <w:szCs w:val="22"/>
        </w:rPr>
      </w:pPr>
    </w:p>
    <w:p w:rsidR="00B83975" w:rsidRPr="00B83975" w:rsidRDefault="009B3B7D" w:rsidP="00BF603E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Mit Wirkung zum 01.09.2023</w:t>
      </w:r>
      <w:r w:rsidR="00B83975" w:rsidRPr="00B83975">
        <w:rPr>
          <w:rFonts w:ascii="Arial" w:hAnsi="Arial" w:cs="Arial"/>
          <w:color w:val="FF0000"/>
          <w:sz w:val="22"/>
          <w:szCs w:val="22"/>
        </w:rPr>
        <w:t xml:space="preserve"> für alle neuen </w:t>
      </w:r>
      <w:r w:rsidR="00CD14B7">
        <w:rPr>
          <w:rFonts w:ascii="Arial" w:hAnsi="Arial" w:cs="Arial"/>
          <w:color w:val="FF0000"/>
          <w:sz w:val="22"/>
          <w:szCs w:val="22"/>
        </w:rPr>
        <w:t>Jahrgänge ab 09</w:t>
      </w:r>
      <w:r w:rsidR="00591C53">
        <w:rPr>
          <w:rFonts w:ascii="Arial" w:hAnsi="Arial" w:cs="Arial"/>
          <w:color w:val="FF0000"/>
          <w:sz w:val="22"/>
          <w:szCs w:val="22"/>
        </w:rPr>
        <w:t>/</w:t>
      </w:r>
      <w:r w:rsidR="00CD14B7">
        <w:rPr>
          <w:rFonts w:ascii="Arial" w:hAnsi="Arial" w:cs="Arial"/>
          <w:color w:val="FF0000"/>
          <w:sz w:val="22"/>
          <w:szCs w:val="22"/>
        </w:rPr>
        <w:t>20</w:t>
      </w:r>
      <w:r w:rsidR="00591C53">
        <w:rPr>
          <w:rFonts w:ascii="Arial" w:hAnsi="Arial" w:cs="Arial"/>
          <w:color w:val="FF0000"/>
          <w:sz w:val="22"/>
          <w:szCs w:val="22"/>
        </w:rPr>
        <w:t>23</w:t>
      </w:r>
    </w:p>
    <w:p w:rsidR="000A5BCF" w:rsidRPr="00B83975" w:rsidRDefault="000A5BCF" w:rsidP="005D76C5">
      <w:pPr>
        <w:rPr>
          <w:rFonts w:ascii="Arial" w:hAnsi="Arial" w:cs="Arial"/>
          <w:b/>
          <w:sz w:val="22"/>
          <w:szCs w:val="22"/>
          <w:u w:val="single"/>
        </w:rPr>
      </w:pPr>
    </w:p>
    <w:p w:rsidR="00AE19B6" w:rsidRPr="00AE19B6" w:rsidRDefault="00AE19B6" w:rsidP="005D76C5">
      <w:pPr>
        <w:rPr>
          <w:rFonts w:ascii="Arial" w:hAnsi="Arial" w:cs="Arial"/>
          <w:b/>
          <w:sz w:val="22"/>
          <w:szCs w:val="22"/>
          <w:u w:val="single"/>
        </w:rPr>
      </w:pPr>
    </w:p>
    <w:p w:rsidR="000A5BCF" w:rsidRPr="00AE19B6" w:rsidRDefault="00C306CF" w:rsidP="00AE19B6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AE19B6">
        <w:rPr>
          <w:rFonts w:ascii="Arial" w:hAnsi="Arial" w:cs="Arial"/>
          <w:b/>
          <w:sz w:val="22"/>
          <w:szCs w:val="22"/>
          <w:u w:val="single"/>
        </w:rPr>
        <w:t>Vorbemerkungen:</w:t>
      </w:r>
    </w:p>
    <w:p w:rsidR="000A5BCF" w:rsidRPr="00AE19B6" w:rsidRDefault="000A5BCF" w:rsidP="00AE19B6">
      <w:pPr>
        <w:spacing w:line="276" w:lineRule="auto"/>
        <w:rPr>
          <w:rFonts w:ascii="Arial" w:hAnsi="Arial" w:cs="Arial"/>
          <w:sz w:val="22"/>
          <w:szCs w:val="22"/>
        </w:rPr>
      </w:pPr>
    </w:p>
    <w:p w:rsidR="00617146" w:rsidRDefault="00C306CF" w:rsidP="00AE19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19B6">
        <w:rPr>
          <w:rFonts w:ascii="Arial" w:hAnsi="Arial" w:cs="Arial"/>
          <w:sz w:val="22"/>
          <w:szCs w:val="22"/>
        </w:rPr>
        <w:t xml:space="preserve">Den Anwärterinnen und Anwärtern sind die maßgeblichen Bestimmungen und Vorschriften zur Führung einer Geschäftsstelle zu erläutern. Auf die </w:t>
      </w:r>
      <w:proofErr w:type="spellStart"/>
      <w:r w:rsidRPr="00AE19B6">
        <w:rPr>
          <w:rFonts w:ascii="Arial" w:hAnsi="Arial" w:cs="Arial"/>
          <w:sz w:val="22"/>
          <w:szCs w:val="22"/>
        </w:rPr>
        <w:t>Urkundsbeamtentätigkeit</w:t>
      </w:r>
      <w:proofErr w:type="spellEnd"/>
      <w:r w:rsidRPr="00AE19B6">
        <w:rPr>
          <w:rFonts w:ascii="Arial" w:hAnsi="Arial" w:cs="Arial"/>
          <w:sz w:val="22"/>
          <w:szCs w:val="22"/>
        </w:rPr>
        <w:t xml:space="preserve"> ist einzugehen. Anhand von praxisbezogenen Fällen ist das Erlernte zu üben und zu vertiefen. </w:t>
      </w:r>
    </w:p>
    <w:p w:rsidR="000A5BCF" w:rsidRPr="00AE19B6" w:rsidRDefault="00C306CF" w:rsidP="00AE19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19B6">
        <w:rPr>
          <w:rFonts w:ascii="Arial" w:hAnsi="Arial" w:cs="Arial"/>
          <w:sz w:val="22"/>
          <w:szCs w:val="22"/>
        </w:rPr>
        <w:t>Dabei muss u.a. die Vermittlung des Inhalts des allgemeinen Teils der Aktenordnung (</w:t>
      </w:r>
      <w:proofErr w:type="spellStart"/>
      <w:r w:rsidRPr="00AE19B6">
        <w:rPr>
          <w:rFonts w:ascii="Arial" w:hAnsi="Arial" w:cs="Arial"/>
          <w:sz w:val="22"/>
          <w:szCs w:val="22"/>
        </w:rPr>
        <w:t>AktO</w:t>
      </w:r>
      <w:proofErr w:type="spellEnd"/>
      <w:r w:rsidRPr="00AE19B6">
        <w:rPr>
          <w:rFonts w:ascii="Arial" w:hAnsi="Arial" w:cs="Arial"/>
          <w:sz w:val="22"/>
          <w:szCs w:val="22"/>
        </w:rPr>
        <w:t xml:space="preserve">) sowie die Geschäftsordnungsvorschriften (GOV) erfolgen. </w:t>
      </w:r>
    </w:p>
    <w:p w:rsidR="000A5BCF" w:rsidRPr="00AE19B6" w:rsidRDefault="000A5BCF" w:rsidP="00AE19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A5BCF" w:rsidRPr="00AE19B6" w:rsidRDefault="00BF603E" w:rsidP="00AE19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Klausur ist</w:t>
      </w:r>
      <w:r w:rsidR="00B77782">
        <w:rPr>
          <w:rFonts w:ascii="Arial" w:hAnsi="Arial" w:cs="Arial"/>
          <w:sz w:val="22"/>
          <w:szCs w:val="22"/>
        </w:rPr>
        <w:t xml:space="preserve"> in 90 Minuten</w:t>
      </w:r>
      <w:r w:rsidR="00C306CF" w:rsidRPr="00AE19B6">
        <w:rPr>
          <w:rFonts w:ascii="Arial" w:hAnsi="Arial" w:cs="Arial"/>
          <w:sz w:val="22"/>
          <w:szCs w:val="22"/>
        </w:rPr>
        <w:t xml:space="preserve"> anzufertigen. Die Benotung erfolgt nach den Vorgaben § 28 </w:t>
      </w:r>
      <w:proofErr w:type="spellStart"/>
      <w:r w:rsidR="00C306CF" w:rsidRPr="00AE19B6">
        <w:rPr>
          <w:rFonts w:ascii="Arial" w:hAnsi="Arial" w:cs="Arial"/>
          <w:sz w:val="22"/>
          <w:szCs w:val="22"/>
        </w:rPr>
        <w:t>LfbG</w:t>
      </w:r>
      <w:proofErr w:type="spellEnd"/>
      <w:r w:rsidR="00C306CF" w:rsidRPr="00AE19B6">
        <w:rPr>
          <w:rFonts w:ascii="Arial" w:hAnsi="Arial" w:cs="Arial"/>
          <w:sz w:val="22"/>
          <w:szCs w:val="22"/>
        </w:rPr>
        <w:t>. Die Gesamtno</w:t>
      </w:r>
      <w:r w:rsidR="003E7613">
        <w:rPr>
          <w:rFonts w:ascii="Arial" w:hAnsi="Arial" w:cs="Arial"/>
          <w:sz w:val="22"/>
          <w:szCs w:val="22"/>
        </w:rPr>
        <w:t>te des Lehrgangs setzt sich zu 70% aus de</w:t>
      </w:r>
      <w:r>
        <w:rPr>
          <w:rFonts w:ascii="Arial" w:hAnsi="Arial" w:cs="Arial"/>
          <w:sz w:val="22"/>
          <w:szCs w:val="22"/>
        </w:rPr>
        <w:t>r Klausurnote</w:t>
      </w:r>
      <w:r w:rsidR="003E7613">
        <w:rPr>
          <w:rFonts w:ascii="Arial" w:hAnsi="Arial" w:cs="Arial"/>
          <w:sz w:val="22"/>
          <w:szCs w:val="22"/>
        </w:rPr>
        <w:t xml:space="preserve"> und zu 3</w:t>
      </w:r>
      <w:r w:rsidR="00C306CF" w:rsidRPr="00AE19B6">
        <w:rPr>
          <w:rFonts w:ascii="Arial" w:hAnsi="Arial" w:cs="Arial"/>
          <w:sz w:val="22"/>
          <w:szCs w:val="22"/>
        </w:rPr>
        <w:t>0% aus den mündlichen Leistungen (Mita</w:t>
      </w:r>
      <w:r w:rsidR="003E7613">
        <w:rPr>
          <w:rFonts w:ascii="Arial" w:hAnsi="Arial" w:cs="Arial"/>
          <w:sz w:val="22"/>
          <w:szCs w:val="22"/>
        </w:rPr>
        <w:t>rbeit, Tests, Hausarbeiten</w:t>
      </w:r>
      <w:r w:rsidR="00C306CF" w:rsidRPr="00AE19B6">
        <w:rPr>
          <w:rFonts w:ascii="Arial" w:hAnsi="Arial" w:cs="Arial"/>
          <w:sz w:val="22"/>
          <w:szCs w:val="22"/>
        </w:rPr>
        <w:t xml:space="preserve">) zusammen. </w:t>
      </w:r>
    </w:p>
    <w:p w:rsidR="000A5BCF" w:rsidRPr="009F3C15" w:rsidRDefault="000A5BCF" w:rsidP="00AE19B6">
      <w:pPr>
        <w:jc w:val="both"/>
        <w:rPr>
          <w:sz w:val="22"/>
          <w:szCs w:val="22"/>
        </w:rPr>
      </w:pPr>
    </w:p>
    <w:p w:rsidR="000A5BCF" w:rsidRPr="009F3C15" w:rsidRDefault="000A5BCF" w:rsidP="005D76C5">
      <w:pPr>
        <w:rPr>
          <w:sz w:val="22"/>
          <w:szCs w:val="22"/>
        </w:rPr>
      </w:pPr>
    </w:p>
    <w:p w:rsidR="005D76C5" w:rsidRDefault="005D76C5" w:rsidP="005D76C5">
      <w:pPr>
        <w:rPr>
          <w:sz w:val="22"/>
          <w:szCs w:val="22"/>
        </w:rPr>
      </w:pPr>
    </w:p>
    <w:p w:rsidR="00CD14B7" w:rsidRPr="00CD14B7" w:rsidRDefault="00CD14B7" w:rsidP="005D76C5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tbl>
      <w:tblPr>
        <w:tblStyle w:val="Tabellenraster"/>
        <w:tblW w:w="9287" w:type="dxa"/>
        <w:tblInd w:w="468" w:type="dxa"/>
        <w:tblLook w:val="04A0" w:firstRow="1" w:lastRow="0" w:firstColumn="1" w:lastColumn="0" w:noHBand="0" w:noVBand="1"/>
      </w:tblPr>
      <w:tblGrid>
        <w:gridCol w:w="2247"/>
        <w:gridCol w:w="2319"/>
        <w:gridCol w:w="1972"/>
        <w:gridCol w:w="2749"/>
      </w:tblGrid>
      <w:tr w:rsidR="00CD14B7" w:rsidRPr="009F3C15" w:rsidTr="003B0CDF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CD14B7" w:rsidRPr="00AE19B6" w:rsidRDefault="00CD14B7" w:rsidP="00E17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>Einführungslehrgang</w:t>
            </w:r>
          </w:p>
        </w:tc>
        <w:tc>
          <w:tcPr>
            <w:tcW w:w="2319" w:type="dxa"/>
            <w:shd w:val="clear" w:color="auto" w:fill="auto"/>
            <w:tcMar>
              <w:left w:w="108" w:type="dxa"/>
            </w:tcMar>
          </w:tcPr>
          <w:p w:rsidR="00CD14B7" w:rsidRPr="00AE19B6" w:rsidRDefault="00CD14B7" w:rsidP="00E17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>Hauptlehrgang</w:t>
            </w:r>
          </w:p>
        </w:tc>
        <w:tc>
          <w:tcPr>
            <w:tcW w:w="1972" w:type="dxa"/>
            <w:shd w:val="clear" w:color="auto" w:fill="auto"/>
            <w:tcMar>
              <w:left w:w="108" w:type="dxa"/>
            </w:tcMar>
          </w:tcPr>
          <w:p w:rsidR="00CD14B7" w:rsidRPr="00AE19B6" w:rsidRDefault="00CD14B7" w:rsidP="00E17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9B6">
              <w:rPr>
                <w:rFonts w:ascii="Arial" w:hAnsi="Arial" w:cs="Arial"/>
                <w:sz w:val="22"/>
                <w:szCs w:val="22"/>
              </w:rPr>
              <w:t>Klausuren</w:t>
            </w:r>
          </w:p>
        </w:tc>
        <w:tc>
          <w:tcPr>
            <w:tcW w:w="2749" w:type="dxa"/>
            <w:shd w:val="clear" w:color="auto" w:fill="auto"/>
            <w:tcMar>
              <w:left w:w="108" w:type="dxa"/>
            </w:tcMar>
          </w:tcPr>
          <w:p w:rsidR="00CD14B7" w:rsidRPr="00AE19B6" w:rsidRDefault="00CD14B7" w:rsidP="00E17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Wiederholungs</w:t>
            </w:r>
            <w:r w:rsidRPr="00AE19B6">
              <w:rPr>
                <w:rFonts w:ascii="Arial" w:hAnsi="Arial" w:cs="Arial"/>
                <w:sz w:val="22"/>
                <w:szCs w:val="22"/>
              </w:rPr>
              <w:t>lehrgang</w:t>
            </w:r>
          </w:p>
        </w:tc>
      </w:tr>
      <w:tr w:rsidR="00CD14B7" w:rsidRPr="009F3C15" w:rsidTr="00D55F1C">
        <w:tc>
          <w:tcPr>
            <w:tcW w:w="2247" w:type="dxa"/>
            <w:shd w:val="clear" w:color="auto" w:fill="auto"/>
            <w:tcMar>
              <w:left w:w="108" w:type="dxa"/>
            </w:tcMar>
          </w:tcPr>
          <w:p w:rsidR="003B0CDF" w:rsidRPr="00D55F1C" w:rsidRDefault="003B0CDF" w:rsidP="00E17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14B7" w:rsidRPr="00D55F1C" w:rsidRDefault="00CD14B7" w:rsidP="00E17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F1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19" w:type="dxa"/>
            <w:shd w:val="clear" w:color="auto" w:fill="auto"/>
            <w:tcMar>
              <w:left w:w="108" w:type="dxa"/>
            </w:tcMar>
          </w:tcPr>
          <w:p w:rsidR="003B0CDF" w:rsidRPr="00D55F1C" w:rsidRDefault="003B0CDF" w:rsidP="00E17C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0CDF" w:rsidRPr="00D55F1C" w:rsidRDefault="003B0CDF" w:rsidP="00E17C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5F1C">
              <w:rPr>
                <w:rFonts w:ascii="Arial" w:hAnsi="Arial" w:cs="Arial"/>
                <w:b/>
                <w:sz w:val="22"/>
                <w:szCs w:val="22"/>
              </w:rPr>
              <w:t xml:space="preserve">18 </w:t>
            </w:r>
          </w:p>
          <w:p w:rsidR="00CD14B7" w:rsidRPr="00D55F1C" w:rsidRDefault="00F01C22" w:rsidP="00E17C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5F1C">
              <w:rPr>
                <w:rFonts w:ascii="Arial" w:hAnsi="Arial" w:cs="Arial"/>
                <w:b/>
                <w:sz w:val="22"/>
                <w:szCs w:val="22"/>
              </w:rPr>
              <w:t xml:space="preserve">Doppelstunden </w:t>
            </w:r>
            <w:r w:rsidR="003B0CDF" w:rsidRPr="00D55F1C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55F1C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3B0CDF" w:rsidRPr="00D55F1C">
              <w:rPr>
                <w:rFonts w:ascii="Arial" w:hAnsi="Arial" w:cs="Arial"/>
                <w:b/>
                <w:sz w:val="22"/>
                <w:szCs w:val="22"/>
              </w:rPr>
              <w:t xml:space="preserve">2 Doppelstunden </w:t>
            </w:r>
            <w:r w:rsidRPr="00D55F1C">
              <w:rPr>
                <w:rFonts w:ascii="Arial" w:hAnsi="Arial" w:cs="Arial"/>
                <w:b/>
                <w:sz w:val="22"/>
                <w:szCs w:val="22"/>
              </w:rPr>
              <w:t>Führung</w:t>
            </w:r>
            <w:r w:rsidR="007D438C" w:rsidRPr="00D55F1C">
              <w:rPr>
                <w:rFonts w:ascii="Arial" w:hAnsi="Arial" w:cs="Arial"/>
                <w:b/>
                <w:sz w:val="22"/>
                <w:szCs w:val="22"/>
              </w:rPr>
              <w:t xml:space="preserve"> durch JHW</w:t>
            </w:r>
            <w:r w:rsidRPr="00D55F1C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</w:p>
          <w:p w:rsidR="003B0CDF" w:rsidRPr="00D55F1C" w:rsidRDefault="003B0CDF" w:rsidP="00E17C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2" w:type="dxa"/>
            <w:shd w:val="clear" w:color="auto" w:fill="auto"/>
            <w:tcMar>
              <w:left w:w="108" w:type="dxa"/>
            </w:tcMar>
          </w:tcPr>
          <w:p w:rsidR="003B0CDF" w:rsidRPr="00D55F1C" w:rsidRDefault="003B0CDF" w:rsidP="00E17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14B7" w:rsidRPr="00D55F1C" w:rsidRDefault="00CD14B7" w:rsidP="00E17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F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49" w:type="dxa"/>
            <w:shd w:val="clear" w:color="auto" w:fill="auto"/>
            <w:tcMar>
              <w:left w:w="108" w:type="dxa"/>
            </w:tcMar>
          </w:tcPr>
          <w:p w:rsidR="003B0CDF" w:rsidRDefault="003B0CDF" w:rsidP="00E17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14B7" w:rsidRPr="00A949C8" w:rsidRDefault="00CD14B7" w:rsidP="00E17C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E01F10" w:rsidRDefault="00E01F10">
      <w:pPr>
        <w:suppressAutoHyphens w:val="0"/>
        <w:spacing w:line="276" w:lineRule="auto"/>
        <w:rPr>
          <w:sz w:val="22"/>
          <w:szCs w:val="22"/>
        </w:rPr>
      </w:pPr>
    </w:p>
    <w:p w:rsidR="00E01F10" w:rsidRDefault="00E01F10">
      <w:pPr>
        <w:suppressAutoHyphens w:val="0"/>
        <w:spacing w:line="276" w:lineRule="auto"/>
        <w:rPr>
          <w:sz w:val="22"/>
          <w:szCs w:val="22"/>
        </w:rPr>
      </w:pPr>
    </w:p>
    <w:p w:rsidR="00E01F10" w:rsidRDefault="00E01F10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E01F10">
        <w:rPr>
          <w:rFonts w:ascii="Arial" w:hAnsi="Arial" w:cs="Arial"/>
          <w:sz w:val="22"/>
          <w:szCs w:val="22"/>
        </w:rPr>
        <w:t xml:space="preserve">Im Rahmen des </w:t>
      </w:r>
      <w:r w:rsidR="009E7C34">
        <w:rPr>
          <w:rFonts w:ascii="Arial" w:hAnsi="Arial" w:cs="Arial"/>
          <w:sz w:val="22"/>
          <w:szCs w:val="22"/>
        </w:rPr>
        <w:t>Geschäftsgang</w:t>
      </w:r>
      <w:r w:rsidR="007D438C">
        <w:rPr>
          <w:rFonts w:ascii="Arial" w:hAnsi="Arial" w:cs="Arial"/>
          <w:sz w:val="22"/>
          <w:szCs w:val="22"/>
        </w:rPr>
        <w:t>u</w:t>
      </w:r>
      <w:r w:rsidR="007D438C" w:rsidRPr="00E01F10">
        <w:rPr>
          <w:rFonts w:ascii="Arial" w:hAnsi="Arial" w:cs="Arial"/>
          <w:sz w:val="22"/>
          <w:szCs w:val="22"/>
        </w:rPr>
        <w:t>nterrichts</w:t>
      </w:r>
      <w:r w:rsidRPr="00E01F10">
        <w:rPr>
          <w:rFonts w:ascii="Arial" w:hAnsi="Arial" w:cs="Arial"/>
          <w:sz w:val="22"/>
          <w:szCs w:val="22"/>
        </w:rPr>
        <w:t xml:space="preserve"> und zum besseren Verständnis und zur Veranschaulichung </w:t>
      </w:r>
      <w:r w:rsidR="007D438C">
        <w:rPr>
          <w:rFonts w:ascii="Arial" w:hAnsi="Arial" w:cs="Arial"/>
          <w:sz w:val="22"/>
          <w:szCs w:val="22"/>
        </w:rPr>
        <w:t xml:space="preserve">für die Anwärter*innen kann es bei Bedarf </w:t>
      </w:r>
      <w:r w:rsidRPr="00E01F10">
        <w:rPr>
          <w:rFonts w:ascii="Arial" w:hAnsi="Arial" w:cs="Arial"/>
          <w:sz w:val="22"/>
          <w:szCs w:val="22"/>
        </w:rPr>
        <w:t xml:space="preserve">eine Führung in den Geschäftsstellen, Teilgeschäftsstellen sowie durch das Haus eines Amtsgerichts, Landgerichts oder Kammergericht </w:t>
      </w:r>
      <w:r w:rsidR="007D438C">
        <w:rPr>
          <w:rFonts w:ascii="Arial" w:hAnsi="Arial" w:cs="Arial"/>
          <w:sz w:val="22"/>
          <w:szCs w:val="22"/>
        </w:rPr>
        <w:t xml:space="preserve">durch einen Wachtmeister </w:t>
      </w:r>
      <w:r w:rsidRPr="00E01F10">
        <w:rPr>
          <w:rFonts w:ascii="Arial" w:hAnsi="Arial" w:cs="Arial"/>
          <w:sz w:val="22"/>
          <w:szCs w:val="22"/>
        </w:rPr>
        <w:t xml:space="preserve">stattfinden. </w:t>
      </w:r>
      <w:r w:rsidRPr="00E01F10">
        <w:rPr>
          <w:rFonts w:ascii="Arial" w:hAnsi="Arial" w:cs="Arial"/>
          <w:sz w:val="22"/>
          <w:szCs w:val="22"/>
        </w:rPr>
        <w:br/>
      </w:r>
    </w:p>
    <w:p w:rsidR="00DA3F7C" w:rsidRPr="00DA3F7C" w:rsidRDefault="00DA3F7C" w:rsidP="00DA3F7C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DA3F7C">
        <w:rPr>
          <w:rFonts w:ascii="Arial" w:hAnsi="Arial" w:cs="Arial"/>
          <w:sz w:val="22"/>
          <w:szCs w:val="22"/>
        </w:rPr>
        <w:t>Bei den Stunden im Einführungslehrgang und im Hauptlehrgang handelt es sich um Richtwerte.</w:t>
      </w:r>
    </w:p>
    <w:p w:rsidR="003B0CDF" w:rsidRDefault="003B0CDF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</w:p>
    <w:p w:rsidR="003B0CDF" w:rsidRDefault="003B0CDF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</w:p>
    <w:p w:rsidR="003B0CDF" w:rsidRDefault="003B0CDF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</w:p>
    <w:p w:rsidR="003B0CDF" w:rsidRDefault="003B0CDF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</w:p>
    <w:p w:rsidR="003B0CDF" w:rsidRPr="003B0CDF" w:rsidRDefault="003B0CDF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</w:p>
    <w:p w:rsidR="00E01F10" w:rsidRPr="009F3C15" w:rsidRDefault="00E01F10">
      <w:pPr>
        <w:suppressAutoHyphens w:val="0"/>
        <w:spacing w:line="276" w:lineRule="auto"/>
        <w:rPr>
          <w:sz w:val="22"/>
          <w:szCs w:val="22"/>
        </w:rPr>
      </w:pPr>
    </w:p>
    <w:p w:rsidR="000A5BCF" w:rsidRPr="009F3C15" w:rsidRDefault="000A5BCF" w:rsidP="005D76C5">
      <w:pPr>
        <w:rPr>
          <w:sz w:val="22"/>
          <w:szCs w:val="22"/>
        </w:rPr>
      </w:pPr>
    </w:p>
    <w:tbl>
      <w:tblPr>
        <w:tblStyle w:val="Tabellenraster"/>
        <w:tblW w:w="10318" w:type="dxa"/>
        <w:tblLook w:val="04A0" w:firstRow="1" w:lastRow="0" w:firstColumn="1" w:lastColumn="0" w:noHBand="0" w:noVBand="1"/>
      </w:tblPr>
      <w:tblGrid>
        <w:gridCol w:w="1513"/>
        <w:gridCol w:w="6065"/>
        <w:gridCol w:w="1068"/>
        <w:gridCol w:w="1672"/>
      </w:tblGrid>
      <w:tr w:rsidR="000A5BCF" w:rsidRPr="009F3C15" w:rsidTr="005820C6"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B71B6F" w:rsidRDefault="00B71B6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A5BCF" w:rsidRPr="00992651" w:rsidRDefault="00C306CF" w:rsidP="005D76C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Groblernziel</w:t>
            </w:r>
          </w:p>
        </w:tc>
        <w:tc>
          <w:tcPr>
            <w:tcW w:w="8805" w:type="dxa"/>
            <w:gridSpan w:val="3"/>
            <w:shd w:val="clear" w:color="auto" w:fill="auto"/>
            <w:tcMar>
              <w:left w:w="108" w:type="dxa"/>
            </w:tcMar>
          </w:tcPr>
          <w:p w:rsidR="00B71B6F" w:rsidRPr="00B71B6F" w:rsidRDefault="00B71B6F" w:rsidP="00B71B6F">
            <w:pPr>
              <w:pStyle w:val="berschrift1"/>
              <w:spacing w:before="0"/>
              <w:outlineLvl w:val="0"/>
              <w:rPr>
                <w:rStyle w:val="ListLabel1"/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_Toc489873713"/>
          </w:p>
          <w:p w:rsidR="000A5BCF" w:rsidRPr="00B71B6F" w:rsidRDefault="00B71B6F" w:rsidP="00B71B6F">
            <w:pPr>
              <w:pStyle w:val="berschrift1"/>
              <w:spacing w:before="0"/>
              <w:outlineLvl w:val="0"/>
              <w:rPr>
                <w:rStyle w:val="ListLabel1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B6F">
              <w:rPr>
                <w:rStyle w:val="ListLabel1"/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1.</w:t>
            </w:r>
            <w:r w:rsidRPr="00B71B6F">
              <w:rPr>
                <w:rStyle w:val="ListLabel1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306CF" w:rsidRPr="00B71B6F">
              <w:rPr>
                <w:rStyle w:val="ListLabel1"/>
                <w:rFonts w:ascii="Arial" w:hAnsi="Arial" w:cs="Arial"/>
                <w:color w:val="000000" w:themeColor="text1"/>
                <w:sz w:val="20"/>
                <w:szCs w:val="20"/>
              </w:rPr>
              <w:t>Allgemeine Einführung</w:t>
            </w:r>
            <w:bookmarkEnd w:id="1"/>
          </w:p>
          <w:p w:rsidR="00B71B6F" w:rsidRPr="00B71B6F" w:rsidRDefault="00B71B6F" w:rsidP="00B71B6F">
            <w:pPr>
              <w:rPr>
                <w:b/>
              </w:rPr>
            </w:pPr>
          </w:p>
        </w:tc>
      </w:tr>
      <w:tr w:rsidR="000A5BCF" w:rsidRPr="009F3C15" w:rsidTr="005820C6"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B71B6F" w:rsidRDefault="00B71B6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A5BCF" w:rsidRPr="00992651" w:rsidRDefault="00C306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Richtlernziel</w:t>
            </w:r>
          </w:p>
        </w:tc>
        <w:tc>
          <w:tcPr>
            <w:tcW w:w="6065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0A5BCF" w:rsidRPr="00992651" w:rsidRDefault="003E7613" w:rsidP="00EA4661">
            <w:pPr>
              <w:pStyle w:val="berschrift2"/>
              <w:outlineLvl w:val="1"/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bookmarkStart w:id="2" w:name="_Toc489873715"/>
            <w:r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1.1</w:t>
            </w:r>
            <w:r w:rsidRPr="00992651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 Zuständigkeit der Gerichte</w:t>
            </w:r>
            <w:bookmarkEnd w:id="2"/>
          </w:p>
        </w:tc>
        <w:tc>
          <w:tcPr>
            <w:tcW w:w="1068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3C4C15" w:rsidRDefault="003C4C15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bookmarkStart w:id="3" w:name="__DdeLink__1503_1243162453"/>
            <w:bookmarkEnd w:id="3"/>
          </w:p>
          <w:p w:rsidR="000A5BCF" w:rsidRPr="00992651" w:rsidRDefault="00C306CF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Lernziel-stufe</w:t>
            </w:r>
          </w:p>
        </w:tc>
        <w:tc>
          <w:tcPr>
            <w:tcW w:w="1672" w:type="dxa"/>
            <w:shd w:val="clear" w:color="auto" w:fill="auto"/>
            <w:tcMar>
              <w:left w:w="108" w:type="dxa"/>
            </w:tcMar>
          </w:tcPr>
          <w:p w:rsidR="001D4779" w:rsidRDefault="001D4779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2"/>
              </w:rPr>
            </w:pPr>
          </w:p>
          <w:p w:rsidR="000A5BCF" w:rsidRPr="00992651" w:rsidRDefault="00C306CF" w:rsidP="005D76C5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2"/>
              </w:rPr>
              <w:t>Anzahl Doppel-stunden</w:t>
            </w:r>
          </w:p>
        </w:tc>
      </w:tr>
      <w:tr w:rsidR="000A5BCF" w:rsidRPr="009F3C15" w:rsidTr="005820C6"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B71B6F" w:rsidRDefault="00B71B6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B71B6F" w:rsidRPr="00B71B6F" w:rsidRDefault="00C306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Feinlernziele</w:t>
            </w:r>
          </w:p>
        </w:tc>
        <w:tc>
          <w:tcPr>
            <w:tcW w:w="6065" w:type="dxa"/>
            <w:shd w:val="clear" w:color="auto" w:fill="auto"/>
            <w:tcMar>
              <w:left w:w="108" w:type="dxa"/>
            </w:tcMar>
          </w:tcPr>
          <w:p w:rsidR="000A5BCF" w:rsidRPr="00992651" w:rsidRDefault="000D1536" w:rsidP="00B71B6F">
            <w:pPr>
              <w:spacing w:before="240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  <w:r w:rsidRPr="007D438C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Die Lernenden kennen das Grundgesetz und den Stellenwert </w:t>
            </w:r>
            <w:r w:rsidR="007D438C" w:rsidRPr="007D438C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>der Gewaltenteilung</w:t>
            </w:r>
            <w:r w:rsidRPr="007D438C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A5BCF" w:rsidRPr="00797C83" w:rsidRDefault="00C306CF" w:rsidP="005820C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  <w:r w:rsidRPr="00797C83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2</w:t>
            </w:r>
          </w:p>
        </w:tc>
        <w:tc>
          <w:tcPr>
            <w:tcW w:w="1672" w:type="dxa"/>
            <w:vMerge w:val="restart"/>
            <w:shd w:val="clear" w:color="auto" w:fill="auto"/>
            <w:tcMar>
              <w:left w:w="108" w:type="dxa"/>
            </w:tcMar>
            <w:vAlign w:val="bottom"/>
          </w:tcPr>
          <w:p w:rsidR="005C7896" w:rsidRDefault="005C7896" w:rsidP="005425C6">
            <w:pPr>
              <w:jc w:val="right"/>
              <w:rPr>
                <w:rStyle w:val="SchwacheHervorhebung"/>
                <w:rFonts w:ascii="Arial" w:hAnsi="Arial" w:cs="Arial"/>
                <w:b/>
                <w:i w:val="0"/>
                <w:strike/>
                <w:color w:val="00000A"/>
                <w:sz w:val="20"/>
                <w:szCs w:val="22"/>
              </w:rPr>
            </w:pPr>
          </w:p>
          <w:p w:rsidR="005C7896" w:rsidRDefault="005C7896" w:rsidP="005425C6">
            <w:pPr>
              <w:jc w:val="right"/>
              <w:rPr>
                <w:rStyle w:val="SchwacheHervorhebung"/>
                <w:rFonts w:ascii="Arial" w:hAnsi="Arial" w:cs="Arial"/>
                <w:b/>
                <w:i w:val="0"/>
                <w:strike/>
                <w:color w:val="00000A"/>
                <w:sz w:val="20"/>
                <w:szCs w:val="22"/>
              </w:rPr>
            </w:pPr>
          </w:p>
          <w:p w:rsidR="005C7896" w:rsidRDefault="005C7896" w:rsidP="005425C6">
            <w:pPr>
              <w:jc w:val="right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C7896" w:rsidRDefault="005C7896" w:rsidP="005425C6">
            <w:pPr>
              <w:jc w:val="right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C7896" w:rsidRDefault="005C7896" w:rsidP="005C7896">
            <w:pPr>
              <w:jc w:val="right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  <w: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  <w:t xml:space="preserve">3 </w:t>
            </w:r>
            <w:proofErr w:type="spellStart"/>
            <w: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  <w:t>DStd</w:t>
            </w:r>
            <w:proofErr w:type="spellEnd"/>
            <w: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  <w:t xml:space="preserve">. </w:t>
            </w:r>
          </w:p>
          <w:p w:rsidR="009307BA" w:rsidRPr="009307BA" w:rsidRDefault="009307BA" w:rsidP="005C7896">
            <w:pPr>
              <w:jc w:val="right"/>
              <w:rPr>
                <w:rStyle w:val="SchwacheHervorhebung"/>
                <w:rFonts w:ascii="Arial" w:hAnsi="Arial" w:cs="Arial"/>
                <w:b/>
                <w:i w:val="0"/>
                <w:color w:val="FF0000"/>
                <w:sz w:val="20"/>
                <w:szCs w:val="22"/>
              </w:rPr>
            </w:pPr>
            <w:r>
              <w:rPr>
                <w:rStyle w:val="SchwacheHervorhebung"/>
                <w:rFonts w:ascii="Arial" w:hAnsi="Arial" w:cs="Arial"/>
                <w:b/>
                <w:i w:val="0"/>
                <w:color w:val="FF0000"/>
                <w:sz w:val="20"/>
                <w:szCs w:val="22"/>
              </w:rPr>
              <w:t xml:space="preserve"> </w:t>
            </w:r>
          </w:p>
          <w:p w:rsidR="005C7896" w:rsidRDefault="005C7896" w:rsidP="005425C6">
            <w:pPr>
              <w:jc w:val="right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C7896" w:rsidRDefault="005C7896" w:rsidP="005C789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5425C6" w:rsidRPr="00992651" w:rsidRDefault="005425C6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</w:tc>
      </w:tr>
      <w:tr w:rsidR="000A5BCF" w:rsidRPr="009F3C15" w:rsidTr="005820C6"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0A5BCF" w:rsidRPr="00992651" w:rsidRDefault="000A5BCF" w:rsidP="005D76C5">
            <w:pPr>
              <w:rPr>
                <w:rStyle w:val="SchwacheHervorhebung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65" w:type="dxa"/>
            <w:shd w:val="clear" w:color="auto" w:fill="auto"/>
            <w:tcMar>
              <w:left w:w="108" w:type="dxa"/>
            </w:tcMar>
          </w:tcPr>
          <w:p w:rsidR="000A5BCF" w:rsidRPr="00992651" w:rsidRDefault="00CD14B7" w:rsidP="00B71B6F">
            <w:pPr>
              <w:spacing w:before="240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Die Lernenden sollen die Instanzenzüge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, </w:t>
            </w:r>
            <w:r w:rsidR="00C306CF"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die streitige und freiwillige Gerichtsbarkeit verstehen</w:t>
            </w:r>
            <w:r w:rsidR="00B45466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,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A5BCF" w:rsidRPr="00797C83" w:rsidRDefault="00C306CF" w:rsidP="005820C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  <w:r w:rsidRPr="00797C83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auto"/>
            <w:tcMar>
              <w:left w:w="108" w:type="dxa"/>
            </w:tcMar>
            <w:vAlign w:val="bottom"/>
          </w:tcPr>
          <w:p w:rsidR="000A5BCF" w:rsidRPr="00992651" w:rsidRDefault="000A5B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</w:tc>
      </w:tr>
      <w:tr w:rsidR="000A5BCF" w:rsidRPr="009F3C15" w:rsidTr="005820C6"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0A5BCF" w:rsidRPr="00992651" w:rsidRDefault="000A5BCF" w:rsidP="005D76C5">
            <w:pPr>
              <w:rPr>
                <w:rStyle w:val="SchwacheHervorhebung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65" w:type="dxa"/>
            <w:shd w:val="clear" w:color="auto" w:fill="auto"/>
            <w:tcMar>
              <w:left w:w="108" w:type="dxa"/>
            </w:tcMar>
          </w:tcPr>
          <w:p w:rsidR="000A5BCF" w:rsidRPr="00992651" w:rsidRDefault="00B45466" w:rsidP="00B71B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s</w:t>
            </w:r>
            <w:r w:rsidR="00C306CF"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owie die Justizor</w:t>
            </w:r>
            <w:r w:rsidR="00545D97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ganisation in Berlin kennen</w:t>
            </w:r>
            <w:r w:rsidR="00C306CF"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br/>
              <w:t>(Senatsverwaltung, Gerichte, Strafverfolgungsbehörden allgemein, besondere Gerichtsbarkeiten)</w:t>
            </w:r>
            <w:r w:rsidR="00545D97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.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A5BCF" w:rsidRDefault="000A5BCF" w:rsidP="005820C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CD14B7" w:rsidRPr="00797C83" w:rsidRDefault="00CD14B7" w:rsidP="005820C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  <w:r w:rsidRPr="009B3B7D">
              <w:rPr>
                <w:rStyle w:val="SchwacheHervorhebung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auto"/>
            <w:tcMar>
              <w:left w:w="108" w:type="dxa"/>
            </w:tcMar>
            <w:vAlign w:val="bottom"/>
          </w:tcPr>
          <w:p w:rsidR="000A5BCF" w:rsidRPr="00992651" w:rsidRDefault="000A5B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</w:tc>
      </w:tr>
      <w:tr w:rsidR="000A5BCF" w:rsidRPr="009F3C15" w:rsidTr="005820C6"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0A5BCF" w:rsidRPr="00992651" w:rsidRDefault="000A5BCF" w:rsidP="005D76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65" w:type="dxa"/>
            <w:shd w:val="clear" w:color="auto" w:fill="auto"/>
            <w:tcMar>
              <w:left w:w="108" w:type="dxa"/>
            </w:tcMar>
          </w:tcPr>
          <w:p w:rsidR="000A5BCF" w:rsidRPr="00992651" w:rsidRDefault="00C306CF" w:rsidP="00B4546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Die </w:t>
            </w:r>
            <w:r w:rsidR="00B45466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Lernenden kennen die </w:t>
            </w:r>
            <w:r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Grundlagen der Rechtsmittelzüge. 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A5BCF" w:rsidRDefault="000A5BCF" w:rsidP="005820C6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  <w:p w:rsidR="00CD14B7" w:rsidRPr="00797C83" w:rsidRDefault="00CD14B7" w:rsidP="005820C6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9B3B7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auto"/>
            <w:tcMar>
              <w:left w:w="108" w:type="dxa"/>
            </w:tcMar>
            <w:vAlign w:val="bottom"/>
          </w:tcPr>
          <w:p w:rsidR="000A5BCF" w:rsidRPr="00992651" w:rsidRDefault="000A5BCF" w:rsidP="005D76C5">
            <w:pPr>
              <w:rPr>
                <w:rFonts w:ascii="Arial" w:hAnsi="Arial" w:cs="Arial"/>
                <w:b/>
                <w:color w:val="00000A"/>
                <w:sz w:val="20"/>
                <w:szCs w:val="22"/>
              </w:rPr>
            </w:pPr>
          </w:p>
        </w:tc>
      </w:tr>
      <w:tr w:rsidR="000A5BCF" w:rsidRPr="009F3C15" w:rsidTr="005820C6"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1B6F" w:rsidRDefault="00B71B6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A5BCF" w:rsidRDefault="00C306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Richtlernziel</w:t>
            </w:r>
          </w:p>
          <w:p w:rsidR="00B71B6F" w:rsidRPr="00992651" w:rsidRDefault="00B71B6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A5BCF" w:rsidRPr="00992651" w:rsidRDefault="003E7613" w:rsidP="003E7613">
            <w:pPr>
              <w:pStyle w:val="berschrift2"/>
              <w:outlineLvl w:val="1"/>
              <w:rPr>
                <w:rStyle w:val="SchwacheHervorhebung"/>
                <w:rFonts w:ascii="Arial" w:hAnsi="Arial" w:cs="Arial"/>
                <w:i w:val="0"/>
                <w:iCs w:val="0"/>
                <w:color w:val="4F81BD" w:themeColor="accent1"/>
                <w:sz w:val="20"/>
                <w:szCs w:val="20"/>
              </w:rPr>
            </w:pPr>
            <w:bookmarkStart w:id="4" w:name="_Toc489873716"/>
            <w:r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1.2</w:t>
            </w:r>
            <w:r w:rsidR="00C306CF" w:rsidRPr="00992651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 Organe der Rechtspflege</w:t>
            </w:r>
            <w:bookmarkEnd w:id="4"/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Pr="00797C83" w:rsidRDefault="000A5BCF" w:rsidP="005820C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  <w:tcMar>
              <w:left w:w="108" w:type="dxa"/>
            </w:tcMar>
            <w:vAlign w:val="bottom"/>
          </w:tcPr>
          <w:p w:rsidR="000A5BCF" w:rsidRPr="00992651" w:rsidRDefault="000A5B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</w:tc>
      </w:tr>
      <w:tr w:rsidR="000A5BCF" w:rsidRPr="009F3C15" w:rsidTr="005820C6"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6C3018" w:rsidRDefault="006C3018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A5BCF" w:rsidRPr="00992651" w:rsidRDefault="00C306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Feinlernziele</w:t>
            </w:r>
          </w:p>
        </w:tc>
        <w:tc>
          <w:tcPr>
            <w:tcW w:w="6065" w:type="dxa"/>
            <w:shd w:val="clear" w:color="auto" w:fill="auto"/>
            <w:tcMar>
              <w:left w:w="108" w:type="dxa"/>
            </w:tcMar>
          </w:tcPr>
          <w:p w:rsidR="009E7C34" w:rsidRPr="009E7C34" w:rsidRDefault="00C306CF" w:rsidP="003E7613">
            <w:pPr>
              <w:spacing w:before="240"/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Die Lernenden sollen die Mitarbeitenden bei Gericht kenn</w:t>
            </w:r>
            <w:r w:rsidR="003E7613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en und deren Aufgaben verstehen</w:t>
            </w:r>
            <w:r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br/>
              <w:t xml:space="preserve">(Richter, Rechtspfleger, </w:t>
            </w:r>
            <w:proofErr w:type="spellStart"/>
            <w:r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UdG</w:t>
            </w:r>
            <w:proofErr w:type="spellEnd"/>
            <w:r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, Wachtmeister, Gerichtsvollzieher)</w:t>
            </w:r>
            <w:r w:rsidR="009E7C34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. 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A5BCF" w:rsidRPr="00797C83" w:rsidRDefault="00C306CF" w:rsidP="0058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C83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auto"/>
            <w:tcMar>
              <w:left w:w="108" w:type="dxa"/>
            </w:tcMar>
            <w:vAlign w:val="bottom"/>
          </w:tcPr>
          <w:p w:rsidR="000A5BCF" w:rsidRPr="00992651" w:rsidRDefault="000A5B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</w:tc>
      </w:tr>
      <w:tr w:rsidR="000A5BCF" w:rsidRPr="009F3C15" w:rsidTr="005820C6"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0A5BCF" w:rsidRPr="00992651" w:rsidRDefault="000A5BCF" w:rsidP="005D76C5">
            <w:pPr>
              <w:rPr>
                <w:rStyle w:val="SchwacheHervorhebung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65" w:type="dxa"/>
            <w:shd w:val="clear" w:color="auto" w:fill="auto"/>
            <w:tcMar>
              <w:left w:w="108" w:type="dxa"/>
            </w:tcMar>
          </w:tcPr>
          <w:p w:rsidR="000A5BCF" w:rsidRPr="00992651" w:rsidRDefault="003E7613" w:rsidP="00B71B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i w:val="0"/>
                <w:iCs w:val="0"/>
                <w:color w:val="00000A"/>
                <w:sz w:val="20"/>
                <w:szCs w:val="20"/>
              </w:rPr>
              <w:t xml:space="preserve">sowie </w:t>
            </w:r>
            <w:r w:rsidR="00C306CF" w:rsidRPr="00992651">
              <w:rPr>
                <w:rStyle w:val="SchwacheHervorhebung"/>
                <w:rFonts w:ascii="Arial" w:hAnsi="Arial" w:cs="Arial"/>
                <w:i w:val="0"/>
                <w:iCs w:val="0"/>
                <w:color w:val="00000A"/>
                <w:sz w:val="20"/>
                <w:szCs w:val="20"/>
              </w:rPr>
              <w:t xml:space="preserve">die externen Organe und deren Aufgaben </w:t>
            </w:r>
            <w:r>
              <w:rPr>
                <w:rStyle w:val="SchwacheHervorhebung"/>
                <w:rFonts w:ascii="Arial" w:hAnsi="Arial" w:cs="Arial"/>
                <w:i w:val="0"/>
                <w:iCs w:val="0"/>
                <w:color w:val="00000A"/>
                <w:sz w:val="20"/>
                <w:szCs w:val="20"/>
              </w:rPr>
              <w:t>kennen und verstehen</w:t>
            </w:r>
            <w:r w:rsidR="00C306CF" w:rsidRPr="00992651">
              <w:rPr>
                <w:rStyle w:val="SchwacheHervorhebung"/>
                <w:rFonts w:ascii="Arial" w:hAnsi="Arial" w:cs="Arial"/>
                <w:i w:val="0"/>
                <w:iCs w:val="0"/>
                <w:color w:val="00000A"/>
                <w:sz w:val="20"/>
                <w:szCs w:val="20"/>
              </w:rPr>
              <w:br/>
              <w:t>(Rechtsanwälte, Notare, Schöffen)</w:t>
            </w:r>
            <w:r>
              <w:rPr>
                <w:rStyle w:val="SchwacheHervorhebung"/>
                <w:rFonts w:ascii="Arial" w:hAnsi="Arial" w:cs="Arial"/>
                <w:i w:val="0"/>
                <w:iCs w:val="0"/>
                <w:color w:val="00000A"/>
                <w:sz w:val="20"/>
                <w:szCs w:val="20"/>
              </w:rPr>
              <w:t>.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A5BCF" w:rsidRPr="00797C83" w:rsidRDefault="00C306CF" w:rsidP="005820C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  <w:r w:rsidRPr="00797C83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auto"/>
            <w:tcMar>
              <w:left w:w="108" w:type="dxa"/>
            </w:tcMar>
            <w:vAlign w:val="bottom"/>
          </w:tcPr>
          <w:p w:rsidR="000A5BCF" w:rsidRPr="00992651" w:rsidRDefault="000A5B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</w:tc>
      </w:tr>
      <w:tr w:rsidR="000A5BCF" w:rsidRPr="009F3C15" w:rsidTr="005820C6"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B71B6F" w:rsidRDefault="00B71B6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A5BCF" w:rsidRDefault="00C306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Richtlernziel</w:t>
            </w:r>
          </w:p>
          <w:p w:rsidR="00B71B6F" w:rsidRPr="00992651" w:rsidRDefault="00B71B6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6065" w:type="dxa"/>
            <w:shd w:val="clear" w:color="auto" w:fill="auto"/>
            <w:tcMar>
              <w:left w:w="108" w:type="dxa"/>
            </w:tcMar>
          </w:tcPr>
          <w:p w:rsidR="000A5BCF" w:rsidRPr="00992651" w:rsidRDefault="003E7613" w:rsidP="005D76C5">
            <w:pPr>
              <w:pStyle w:val="berschrift2"/>
              <w:outlineLvl w:val="1"/>
              <w:rPr>
                <w:rStyle w:val="SchwacheHervorhebung"/>
                <w:rFonts w:ascii="Arial" w:hAnsi="Arial" w:cs="Arial"/>
                <w:i w:val="0"/>
                <w:iCs w:val="0"/>
                <w:color w:val="4F81BD" w:themeColor="accent1"/>
                <w:sz w:val="20"/>
                <w:szCs w:val="20"/>
              </w:rPr>
            </w:pPr>
            <w:bookmarkStart w:id="5" w:name="_Toc489873717"/>
            <w:r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1.3</w:t>
            </w:r>
            <w:r w:rsidR="00C306CF" w:rsidRPr="00992651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 Überblick von Rechtsvorschriften</w:t>
            </w:r>
            <w:bookmarkEnd w:id="5"/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A5BCF" w:rsidRPr="00797C83" w:rsidRDefault="000A5BCF" w:rsidP="005820C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  <w:tcMar>
              <w:left w:w="108" w:type="dxa"/>
            </w:tcMar>
            <w:vAlign w:val="bottom"/>
          </w:tcPr>
          <w:p w:rsidR="000A5BCF" w:rsidRPr="00992651" w:rsidRDefault="000A5B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</w:tc>
      </w:tr>
      <w:tr w:rsidR="000A5BCF" w:rsidRPr="009F3C15" w:rsidTr="005820C6"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6C3018" w:rsidRDefault="006C3018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A5BCF" w:rsidRPr="00992651" w:rsidRDefault="00C306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Feinlernziele</w:t>
            </w:r>
          </w:p>
        </w:tc>
        <w:tc>
          <w:tcPr>
            <w:tcW w:w="6065" w:type="dxa"/>
            <w:shd w:val="clear" w:color="auto" w:fill="auto"/>
            <w:tcMar>
              <w:left w:w="108" w:type="dxa"/>
            </w:tcMar>
          </w:tcPr>
          <w:p w:rsidR="000A5BCF" w:rsidRPr="00992651" w:rsidRDefault="00C306CF" w:rsidP="003E761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Die Lernenden sollen die unterschiedlichen Arten</w:t>
            </w:r>
            <w:r w:rsidR="00CD14B7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 und Aufbau</w:t>
            </w:r>
            <w:r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 von Rechts- und</w:t>
            </w:r>
            <w:r w:rsidR="003E7613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 Verwaltungsvorschriften kennen</w:t>
            </w:r>
            <w:r w:rsidR="00E01F1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 </w:t>
            </w:r>
            <w:r w:rsidR="00E01F10" w:rsidRPr="007D438C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und anwenden können </w:t>
            </w:r>
            <w:r w:rsidR="00545D97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(GG, Bundesgesetze</w:t>
            </w:r>
            <w:r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, Landesgesetze, Rechtsverordnungen, Rundschreiben, Dienstvereinbarungen)</w:t>
            </w:r>
            <w:r w:rsidR="003E7613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,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A5BCF" w:rsidRPr="00797C83" w:rsidRDefault="00C306CF" w:rsidP="005820C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  <w:r w:rsidRPr="00797C83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1</w:t>
            </w:r>
          </w:p>
        </w:tc>
        <w:tc>
          <w:tcPr>
            <w:tcW w:w="1672" w:type="dxa"/>
            <w:vMerge/>
            <w:shd w:val="clear" w:color="auto" w:fill="auto"/>
            <w:tcMar>
              <w:left w:w="108" w:type="dxa"/>
            </w:tcMar>
            <w:vAlign w:val="bottom"/>
          </w:tcPr>
          <w:p w:rsidR="000A5BCF" w:rsidRPr="00992651" w:rsidRDefault="000A5B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</w:tc>
      </w:tr>
      <w:tr w:rsidR="000A5BCF" w:rsidRPr="009F3C15" w:rsidTr="005820C6"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B71B6F" w:rsidRDefault="00B71B6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62221" w:rsidRDefault="00062221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Groblernziel</w:t>
            </w:r>
          </w:p>
          <w:p w:rsidR="000A5BCF" w:rsidRPr="00992651" w:rsidRDefault="000A5B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065" w:type="dxa"/>
            <w:shd w:val="clear" w:color="auto" w:fill="auto"/>
            <w:tcMar>
              <w:left w:w="108" w:type="dxa"/>
            </w:tcMar>
          </w:tcPr>
          <w:p w:rsidR="00B71B6F" w:rsidRDefault="00B71B6F" w:rsidP="00B71B6F">
            <w:pPr>
              <w:pStyle w:val="berschrift1"/>
              <w:spacing w:before="0"/>
              <w:outlineLvl w:val="0"/>
              <w:rPr>
                <w:rStyle w:val="ListLabel1"/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6" w:name="_Toc489873718"/>
          </w:p>
          <w:p w:rsidR="000A5BCF" w:rsidRPr="00992651" w:rsidRDefault="00C306CF" w:rsidP="00B71B6F">
            <w:pPr>
              <w:pStyle w:val="berschrift1"/>
              <w:spacing w:before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2651">
              <w:rPr>
                <w:rStyle w:val="ListLabel1"/>
                <w:rFonts w:ascii="Arial" w:hAnsi="Arial" w:cs="Arial"/>
                <w:color w:val="000000" w:themeColor="text1"/>
                <w:sz w:val="20"/>
                <w:szCs w:val="20"/>
              </w:rPr>
              <w:t>2. Grundlagen eines Gerichts</w:t>
            </w:r>
            <w:bookmarkEnd w:id="6"/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</w:tcPr>
          <w:p w:rsidR="003C4C15" w:rsidRDefault="003C4C15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A5BCF" w:rsidRPr="00992651" w:rsidRDefault="00C306CF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Lernziel-stufe</w:t>
            </w:r>
          </w:p>
        </w:tc>
        <w:tc>
          <w:tcPr>
            <w:tcW w:w="1672" w:type="dxa"/>
            <w:shd w:val="clear" w:color="auto" w:fill="auto"/>
            <w:tcMar>
              <w:left w:w="108" w:type="dxa"/>
            </w:tcMar>
            <w:vAlign w:val="center"/>
          </w:tcPr>
          <w:p w:rsidR="000A5BCF" w:rsidRPr="00992651" w:rsidRDefault="00C306CF" w:rsidP="005D76C5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2"/>
              </w:rPr>
              <w:t>Anzahl Doppel-stunden</w:t>
            </w:r>
          </w:p>
        </w:tc>
      </w:tr>
      <w:tr w:rsidR="000A5BCF" w:rsidRPr="009F3C15" w:rsidTr="005820C6"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B71B6F" w:rsidRDefault="00B71B6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62221" w:rsidRDefault="00062221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Richtlernziel</w:t>
            </w:r>
          </w:p>
          <w:p w:rsidR="00B71B6F" w:rsidRPr="00992651" w:rsidRDefault="00B71B6F" w:rsidP="005D76C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5" w:type="dxa"/>
            <w:shd w:val="clear" w:color="auto" w:fill="auto"/>
            <w:tcMar>
              <w:left w:w="108" w:type="dxa"/>
            </w:tcMar>
          </w:tcPr>
          <w:p w:rsidR="000A5BCF" w:rsidRPr="00992651" w:rsidRDefault="00C306CF" w:rsidP="00D212E2">
            <w:pPr>
              <w:pStyle w:val="berschrift2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7" w:name="_Toc489873719"/>
            <w:r w:rsidRPr="00992651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2.1 Der Geschäftsverteilungsplan</w:t>
            </w:r>
            <w:bookmarkEnd w:id="7"/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</w:tcPr>
          <w:p w:rsidR="000A5BCF" w:rsidRPr="00797C83" w:rsidRDefault="000A5B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shd w:val="clear" w:color="auto" w:fill="auto"/>
            <w:tcMar>
              <w:left w:w="108" w:type="dxa"/>
            </w:tcMar>
          </w:tcPr>
          <w:p w:rsidR="00A24E6D" w:rsidRDefault="00A24E6D" w:rsidP="00A24E6D">
            <w:pPr>
              <w:jc w:val="right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</w:pPr>
          </w:p>
          <w:p w:rsidR="009307BA" w:rsidRPr="00CD14B7" w:rsidRDefault="009307BA" w:rsidP="00A24E6D">
            <w:pPr>
              <w:jc w:val="right"/>
              <w:rPr>
                <w:rStyle w:val="SchwacheHervorhebung"/>
                <w:rFonts w:ascii="Arial" w:hAnsi="Arial" w:cs="Arial"/>
                <w:b/>
                <w:i w:val="0"/>
                <w:strike/>
                <w:color w:val="00000A"/>
                <w:sz w:val="20"/>
                <w:szCs w:val="22"/>
              </w:rPr>
            </w:pPr>
          </w:p>
          <w:p w:rsidR="000A5BCF" w:rsidRPr="00797C83" w:rsidRDefault="009307BA" w:rsidP="00A24E6D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2"/>
              </w:rPr>
            </w:pPr>
            <w:r w:rsidRPr="007D438C">
              <w:rPr>
                <w:rStyle w:val="SchwacheHervorhebung"/>
                <w:rFonts w:ascii="Arial" w:hAnsi="Arial" w:cs="Arial"/>
                <w:b/>
                <w:i w:val="0"/>
                <w:color w:val="auto"/>
                <w:sz w:val="20"/>
                <w:szCs w:val="22"/>
              </w:rPr>
              <w:t xml:space="preserve">1 </w:t>
            </w:r>
            <w:proofErr w:type="spellStart"/>
            <w:r w:rsidRPr="007D438C">
              <w:rPr>
                <w:rStyle w:val="SchwacheHervorhebung"/>
                <w:rFonts w:ascii="Arial" w:hAnsi="Arial" w:cs="Arial"/>
                <w:b/>
                <w:i w:val="0"/>
                <w:color w:val="auto"/>
                <w:sz w:val="20"/>
                <w:szCs w:val="22"/>
              </w:rPr>
              <w:t>DStd</w:t>
            </w:r>
            <w:proofErr w:type="spellEnd"/>
            <w:r w:rsidR="007D438C">
              <w:rPr>
                <w:rStyle w:val="SchwacheHervorhebung"/>
                <w:rFonts w:ascii="Arial" w:hAnsi="Arial" w:cs="Arial"/>
                <w:b/>
                <w:i w:val="0"/>
                <w:color w:val="auto"/>
                <w:sz w:val="20"/>
                <w:szCs w:val="22"/>
              </w:rPr>
              <w:t>.</w:t>
            </w:r>
            <w:r w:rsidR="00C306CF" w:rsidRPr="00797C83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  <w:t xml:space="preserve"> </w:t>
            </w:r>
          </w:p>
        </w:tc>
      </w:tr>
      <w:tr w:rsidR="000A5BCF" w:rsidRPr="009F3C15" w:rsidTr="005820C6"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C3018" w:rsidRDefault="006C3018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A5BCF" w:rsidRPr="00992651" w:rsidRDefault="00C306CF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Feinlernziele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A5BCF" w:rsidRPr="00992651" w:rsidRDefault="00C306CF" w:rsidP="00545D9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Die Lernenden sollen das Prinzip und die Bedeutung des gesetzliche</w:t>
            </w:r>
            <w:r w:rsidR="009307BA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n Richters kennen </w:t>
            </w:r>
            <w:r w:rsidR="00CD14B7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und verstehen</w:t>
            </w:r>
            <w:r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br/>
              <w:t>(der verfassungsmäßige Richter, sachliche Unabhängigkeit)</w:t>
            </w:r>
            <w:r w:rsidR="00545D97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,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Default="00C306CF" w:rsidP="005820C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  <w:r w:rsidRPr="00797C83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2</w:t>
            </w:r>
          </w:p>
          <w:p w:rsidR="009307BA" w:rsidRPr="00797C83" w:rsidRDefault="009307BA" w:rsidP="0058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A5BCF" w:rsidRPr="009F3C15" w:rsidRDefault="000A5BCF" w:rsidP="005D76C5">
            <w:pPr>
              <w:rPr>
                <w:rStyle w:val="SchwacheHervorhebung"/>
                <w:rFonts w:asciiTheme="minorHAnsi" w:hAnsiTheme="minorHAnsi"/>
                <w:b/>
                <w:i w:val="0"/>
                <w:color w:val="00000A"/>
                <w:sz w:val="22"/>
                <w:szCs w:val="22"/>
              </w:rPr>
            </w:pPr>
          </w:p>
        </w:tc>
      </w:tr>
      <w:tr w:rsidR="000A5BCF" w:rsidRPr="009F3C15" w:rsidTr="005820C6"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0A5BCF" w:rsidRPr="00992651" w:rsidRDefault="000A5BCF" w:rsidP="005D76C5">
            <w:pPr>
              <w:rPr>
                <w:rStyle w:val="SchwacheHervorhebung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65" w:type="dxa"/>
            <w:shd w:val="clear" w:color="auto" w:fill="auto"/>
            <w:tcMar>
              <w:left w:w="108" w:type="dxa"/>
            </w:tcMar>
          </w:tcPr>
          <w:p w:rsidR="000A5BCF" w:rsidRPr="00992651" w:rsidRDefault="00C306CF" w:rsidP="003C4C1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den Begriff, den Aufbau und die Aufgabe des Präsidiums und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A5BCF" w:rsidRPr="00797C83" w:rsidRDefault="00C306CF" w:rsidP="0058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C83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1</w:t>
            </w:r>
          </w:p>
        </w:tc>
        <w:tc>
          <w:tcPr>
            <w:tcW w:w="167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A5BCF" w:rsidRPr="009F3C15" w:rsidRDefault="000A5BCF" w:rsidP="005D76C5">
            <w:pPr>
              <w:rPr>
                <w:rStyle w:val="SchwacheHervorhebung"/>
                <w:rFonts w:asciiTheme="minorHAnsi" w:hAnsiTheme="minorHAnsi"/>
                <w:b/>
                <w:i w:val="0"/>
                <w:color w:val="00000A"/>
                <w:sz w:val="22"/>
                <w:szCs w:val="22"/>
              </w:rPr>
            </w:pPr>
          </w:p>
        </w:tc>
      </w:tr>
      <w:tr w:rsidR="000A5BCF" w:rsidRPr="009F3C15" w:rsidTr="009307BA"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0A5BCF" w:rsidRPr="00992651" w:rsidRDefault="000A5BCF" w:rsidP="005D76C5">
            <w:pPr>
              <w:rPr>
                <w:rStyle w:val="SchwacheHervorhebung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6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A5BCF" w:rsidRPr="009307BA" w:rsidRDefault="00C306CF" w:rsidP="00545D97">
            <w:pPr>
              <w:spacing w:before="2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den Aufbau und die Inhalte eines richterlichen Geschäftsverteilungsplans verstehen</w:t>
            </w:r>
            <w:r w:rsidR="00CD14B7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.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A5BCF" w:rsidRDefault="00C306CF" w:rsidP="005820C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  <w:r w:rsidRPr="00797C83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2</w:t>
            </w:r>
          </w:p>
          <w:p w:rsidR="009307BA" w:rsidRPr="00797C83" w:rsidRDefault="009307BA" w:rsidP="0058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A5BCF" w:rsidRPr="009F3C15" w:rsidRDefault="000A5BCF" w:rsidP="005D76C5">
            <w:pPr>
              <w:rPr>
                <w:rStyle w:val="SchwacheHervorhebung"/>
                <w:rFonts w:asciiTheme="minorHAnsi" w:hAnsiTheme="minorHAnsi"/>
                <w:b/>
                <w:i w:val="0"/>
                <w:color w:val="00000A"/>
                <w:sz w:val="22"/>
                <w:szCs w:val="22"/>
              </w:rPr>
            </w:pPr>
          </w:p>
        </w:tc>
      </w:tr>
      <w:tr w:rsidR="000A5BCF" w:rsidRPr="009F3C15" w:rsidTr="005820C6"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B71B6F" w:rsidRDefault="00B71B6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62221" w:rsidRDefault="00062221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Richtlernziel</w:t>
            </w:r>
          </w:p>
          <w:p w:rsidR="000A5BCF" w:rsidRPr="00992651" w:rsidRDefault="000A5B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6065" w:type="dxa"/>
            <w:shd w:val="clear" w:color="auto" w:fill="auto"/>
            <w:tcMar>
              <w:left w:w="108" w:type="dxa"/>
            </w:tcMar>
          </w:tcPr>
          <w:p w:rsidR="00C90106" w:rsidRDefault="00C90106" w:rsidP="00BB5680">
            <w:pPr>
              <w:pStyle w:val="berschrift2"/>
              <w:spacing w:before="0"/>
              <w:outlineLvl w:val="1"/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bookmarkStart w:id="8" w:name="_Toc489873720"/>
          </w:p>
          <w:p w:rsidR="00BB5680" w:rsidRPr="00395A80" w:rsidRDefault="00B71B6F" w:rsidP="00BB5680">
            <w:pPr>
              <w:pStyle w:val="berschrift2"/>
              <w:spacing w:before="0"/>
              <w:outlineLvl w:val="1"/>
              <w:rPr>
                <w:rStyle w:val="SchwacheHervorhebung"/>
                <w:rFonts w:ascii="Arial" w:hAnsi="Arial" w:cs="Arial"/>
                <w:i w:val="0"/>
                <w:iCs w:val="0"/>
                <w:color w:val="FF0000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2.2 D</w:t>
            </w:r>
            <w:r w:rsidR="00C306CF" w:rsidRPr="00992651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er Geschäftsverteilungsplan des Rechtspflegers und der Justizverwaltung</w:t>
            </w:r>
            <w:bookmarkEnd w:id="8"/>
          </w:p>
          <w:p w:rsidR="00BB5680" w:rsidRPr="00BB5680" w:rsidRDefault="00BB5680" w:rsidP="00BB5680"/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A5BCF" w:rsidRPr="00797C83" w:rsidRDefault="000A5BCF" w:rsidP="005820C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A5BCF" w:rsidRPr="009F3C15" w:rsidRDefault="000A5BCF" w:rsidP="005D76C5">
            <w:pPr>
              <w:rPr>
                <w:rStyle w:val="SchwacheHervorhebung"/>
                <w:rFonts w:asciiTheme="minorHAnsi" w:hAnsiTheme="minorHAnsi"/>
                <w:b/>
                <w:i w:val="0"/>
                <w:color w:val="00000A"/>
                <w:sz w:val="22"/>
                <w:szCs w:val="22"/>
              </w:rPr>
            </w:pPr>
          </w:p>
        </w:tc>
      </w:tr>
      <w:tr w:rsidR="000A5BCF" w:rsidRPr="009F3C15" w:rsidTr="005820C6"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6C3018" w:rsidRDefault="006C3018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A5BCF" w:rsidRPr="00992651" w:rsidRDefault="00C306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Feinlernziele</w:t>
            </w:r>
          </w:p>
        </w:tc>
        <w:tc>
          <w:tcPr>
            <w:tcW w:w="6065" w:type="dxa"/>
            <w:shd w:val="clear" w:color="auto" w:fill="auto"/>
            <w:tcMar>
              <w:left w:w="108" w:type="dxa"/>
            </w:tcMar>
          </w:tcPr>
          <w:p w:rsidR="000A5BCF" w:rsidRPr="00992651" w:rsidRDefault="00C306CF" w:rsidP="00C9010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D14B7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Die Lernenden sollen die Bedeutung in Abgrenzung zum richterlichen Geschäftsverteilungsplan verstehen </w:t>
            </w:r>
            <w:r w:rsidRPr="00CD14B7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br/>
              <w:t>(Außen-/</w:t>
            </w:r>
            <w:r w:rsidR="00C90106" w:rsidRPr="00CD14B7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 </w:t>
            </w:r>
            <w:r w:rsidRPr="00CD14B7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>Innenwirkung)</w:t>
            </w:r>
            <w:r w:rsidR="00C90106" w:rsidRPr="00CD14B7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 und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A5BCF" w:rsidRPr="00797C83" w:rsidRDefault="00C306CF" w:rsidP="005820C6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CD14B7">
              <w:rPr>
                <w:rStyle w:val="SchwacheHervorhebung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7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A5BCF" w:rsidRPr="009F3C15" w:rsidRDefault="000A5BCF" w:rsidP="005D76C5">
            <w:pPr>
              <w:rPr>
                <w:rStyle w:val="SchwacheHervorhebung"/>
                <w:rFonts w:asciiTheme="minorHAnsi" w:hAnsiTheme="minorHAnsi"/>
                <w:b/>
                <w:i w:val="0"/>
                <w:color w:val="00000A"/>
                <w:sz w:val="22"/>
                <w:szCs w:val="22"/>
              </w:rPr>
            </w:pPr>
          </w:p>
        </w:tc>
      </w:tr>
      <w:tr w:rsidR="000A5BCF" w:rsidRPr="009F3C15" w:rsidTr="005820C6"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0A5BCF" w:rsidRPr="00992651" w:rsidRDefault="000A5BCF" w:rsidP="005D76C5">
            <w:pPr>
              <w:rPr>
                <w:rStyle w:val="SchwacheHervorhebung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65" w:type="dxa"/>
            <w:shd w:val="clear" w:color="auto" w:fill="auto"/>
            <w:tcMar>
              <w:left w:w="108" w:type="dxa"/>
            </w:tcMar>
          </w:tcPr>
          <w:p w:rsidR="000A5BCF" w:rsidRPr="00992651" w:rsidRDefault="00C306CF" w:rsidP="003C4C1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den Aufbau und die Inhalte </w:t>
            </w:r>
            <w:r w:rsidR="009B3B7D"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des Geschäftsverteilungsplans</w:t>
            </w:r>
            <w:r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 für die Rechtspfleger und die </w:t>
            </w:r>
            <w:r w:rsidRPr="007D438C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Justizverwaltung </w:t>
            </w:r>
            <w:r w:rsidR="00CD14B7" w:rsidRPr="007D438C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>kennen</w:t>
            </w:r>
            <w:r w:rsidR="009B3B7D" w:rsidRPr="007D438C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>.</w:t>
            </w:r>
            <w:r w:rsidR="00CD14B7" w:rsidRPr="007D438C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shd w:val="clear" w:color="auto" w:fill="auto"/>
            <w:tcMar>
              <w:left w:w="108" w:type="dxa"/>
            </w:tcMar>
            <w:vAlign w:val="center"/>
          </w:tcPr>
          <w:p w:rsidR="000A5BCF" w:rsidRPr="00CD14B7" w:rsidRDefault="000A5BCF" w:rsidP="005820C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strike/>
                <w:color w:val="00000A"/>
                <w:sz w:val="20"/>
                <w:szCs w:val="20"/>
              </w:rPr>
            </w:pPr>
          </w:p>
          <w:p w:rsidR="009307BA" w:rsidRPr="00797C83" w:rsidRDefault="009307BA" w:rsidP="005820C6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9B3B7D">
              <w:rPr>
                <w:rStyle w:val="SchwacheHervorhebung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67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A5BCF" w:rsidRPr="009F3C15" w:rsidRDefault="000A5BCF" w:rsidP="005D76C5">
            <w:pPr>
              <w:rPr>
                <w:rStyle w:val="SchwacheHervorhebung"/>
                <w:rFonts w:asciiTheme="minorHAnsi" w:hAnsiTheme="minorHAnsi"/>
                <w:b/>
                <w:i w:val="0"/>
                <w:color w:val="00000A"/>
                <w:sz w:val="22"/>
                <w:szCs w:val="22"/>
              </w:rPr>
            </w:pPr>
          </w:p>
        </w:tc>
      </w:tr>
      <w:tr w:rsidR="000A5BCF" w:rsidRPr="009F3C15" w:rsidTr="005820C6"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9E7C34" w:rsidRDefault="009E7C34" w:rsidP="009E7C34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9E7C34" w:rsidRDefault="009E7C34" w:rsidP="009E7C34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Groblernziel</w:t>
            </w:r>
          </w:p>
          <w:p w:rsidR="000A5BCF" w:rsidRPr="00992651" w:rsidRDefault="000A5BCF" w:rsidP="003C4C15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3C4C15" w:rsidRPr="00395A80" w:rsidRDefault="003C4C15" w:rsidP="003C4C15">
            <w:pPr>
              <w:pStyle w:val="berschrift1"/>
              <w:spacing w:before="0"/>
              <w:outlineLvl w:val="0"/>
              <w:rPr>
                <w:rStyle w:val="ListLabel1"/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9" w:name="_Toc489873721"/>
          </w:p>
          <w:p w:rsidR="000A5BCF" w:rsidRPr="00395A80" w:rsidRDefault="00B71B6F" w:rsidP="003C4C15">
            <w:pPr>
              <w:pStyle w:val="berschrift1"/>
              <w:spacing w:before="0"/>
              <w:outlineLvl w:val="0"/>
              <w:rPr>
                <w:rStyle w:val="ListLabel1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5A80">
              <w:rPr>
                <w:rStyle w:val="ListLabel1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C2547B">
              <w:rPr>
                <w:rStyle w:val="ListLabel1"/>
                <w:rFonts w:ascii="Arial" w:hAnsi="Arial" w:cs="Arial"/>
                <w:color w:val="auto"/>
                <w:sz w:val="20"/>
                <w:szCs w:val="20"/>
              </w:rPr>
              <w:t>. D</w:t>
            </w:r>
            <w:r w:rsidR="00C306CF" w:rsidRPr="00C2547B">
              <w:rPr>
                <w:rStyle w:val="ListLabel1"/>
                <w:rFonts w:ascii="Arial" w:hAnsi="Arial" w:cs="Arial"/>
                <w:color w:val="auto"/>
                <w:sz w:val="20"/>
                <w:szCs w:val="20"/>
              </w:rPr>
              <w:t>ie Zuständigkeiten</w:t>
            </w:r>
            <w:r w:rsidR="005A3056" w:rsidRPr="00C2547B">
              <w:rPr>
                <w:rStyle w:val="ListLabel1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B3B7D" w:rsidRPr="00C2547B">
              <w:rPr>
                <w:rStyle w:val="ListLabel1"/>
                <w:rFonts w:ascii="Arial" w:hAnsi="Arial" w:cs="Arial"/>
                <w:color w:val="auto"/>
                <w:sz w:val="20"/>
                <w:szCs w:val="20"/>
              </w:rPr>
              <w:t xml:space="preserve">innerhalb der Berliner Justiz </w:t>
            </w:r>
            <w:bookmarkEnd w:id="9"/>
          </w:p>
          <w:p w:rsidR="00395A80" w:rsidRPr="00395A80" w:rsidRDefault="00395A80" w:rsidP="00395A8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3C4C15" w:rsidRPr="00797C83" w:rsidRDefault="003C4C15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0A5BCF" w:rsidRPr="00797C83" w:rsidRDefault="00C306CF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7C83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Lernziel-stufe</w:t>
            </w:r>
          </w:p>
        </w:tc>
        <w:tc>
          <w:tcPr>
            <w:tcW w:w="167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Pr="00B71B6F" w:rsidRDefault="00C306CF" w:rsidP="005D76C5">
            <w:pPr>
              <w:rPr>
                <w:rFonts w:ascii="Arial" w:hAnsi="Arial" w:cs="Arial"/>
                <w:b/>
                <w:color w:val="00000A"/>
                <w:sz w:val="20"/>
                <w:szCs w:val="22"/>
              </w:rPr>
            </w:pPr>
            <w:r w:rsidRPr="00B71B6F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  <w:t>Anzahl Doppel-stunden</w:t>
            </w:r>
          </w:p>
        </w:tc>
      </w:tr>
      <w:tr w:rsidR="000A5BCF" w:rsidRPr="009F3C15" w:rsidTr="005820C6"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C3018" w:rsidRPr="00C2547B" w:rsidRDefault="006C3018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  <w:p w:rsidR="00062221" w:rsidRPr="00C2547B" w:rsidRDefault="005A3056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C2547B">
              <w:rPr>
                <w:rStyle w:val="SchwacheHervorhebung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Feinlernziele</w:t>
            </w:r>
          </w:p>
          <w:p w:rsidR="000A5BCF" w:rsidRPr="00C2547B" w:rsidRDefault="000A5BCF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A3056" w:rsidRPr="009E7C34" w:rsidRDefault="005A3056" w:rsidP="009E7C34">
            <w:pPr>
              <w:pStyle w:val="berschrift2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E7C34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Die Lernenden sollen die sachliche, örtliche und funktionelle Zuständigkeiten </w:t>
            </w:r>
            <w:r w:rsidR="00E01F10" w:rsidRPr="009E7C34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sowie die besonderen Zuständigkeiten </w:t>
            </w:r>
            <w:r w:rsidRPr="009E7C34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kennen und unter Anwendung der Zuweisungsverordnungen anwenden können. 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A5BCF" w:rsidRPr="00C2547B" w:rsidRDefault="000A5B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  <w:p w:rsidR="00C2547B" w:rsidRDefault="00C2547B" w:rsidP="005A305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  <w:p w:rsidR="005A3056" w:rsidRPr="00C2547B" w:rsidRDefault="005A3056" w:rsidP="005A305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C2547B">
              <w:rPr>
                <w:rStyle w:val="SchwacheHervorhebung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24E6D" w:rsidRDefault="00A24E6D" w:rsidP="00A24E6D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2"/>
              </w:rPr>
            </w:pPr>
          </w:p>
          <w:p w:rsidR="00121F12" w:rsidRDefault="00121F12" w:rsidP="00A24E6D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2"/>
              </w:rPr>
            </w:pPr>
          </w:p>
          <w:p w:rsidR="000A5BCF" w:rsidRPr="00C2547B" w:rsidRDefault="00797C83" w:rsidP="00C2547B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C2547B">
              <w:rPr>
                <w:rFonts w:ascii="Arial" w:hAnsi="Arial" w:cs="Arial"/>
                <w:b/>
                <w:sz w:val="20"/>
                <w:szCs w:val="22"/>
              </w:rPr>
              <w:t xml:space="preserve">1 </w:t>
            </w:r>
            <w:proofErr w:type="spellStart"/>
            <w:r w:rsidRPr="00C2547B">
              <w:rPr>
                <w:rFonts w:ascii="Arial" w:hAnsi="Arial" w:cs="Arial"/>
                <w:b/>
                <w:sz w:val="20"/>
                <w:szCs w:val="22"/>
              </w:rPr>
              <w:t>DS</w:t>
            </w:r>
            <w:r w:rsidR="00C306CF" w:rsidRPr="00C2547B">
              <w:rPr>
                <w:rFonts w:ascii="Arial" w:hAnsi="Arial" w:cs="Arial"/>
                <w:b/>
                <w:sz w:val="20"/>
                <w:szCs w:val="22"/>
              </w:rPr>
              <w:t>t</w:t>
            </w:r>
            <w:r w:rsidRPr="00C2547B">
              <w:rPr>
                <w:rFonts w:ascii="Arial" w:hAnsi="Arial" w:cs="Arial"/>
                <w:b/>
                <w:sz w:val="20"/>
                <w:szCs w:val="22"/>
              </w:rPr>
              <w:t>d</w:t>
            </w:r>
            <w:proofErr w:type="spellEnd"/>
            <w:r w:rsidR="00C306CF" w:rsidRPr="00C2547B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</w:tr>
      <w:tr w:rsidR="000A5BCF" w:rsidRPr="009F3C15" w:rsidTr="005820C6"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C3018" w:rsidRDefault="006C3018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A5BCF" w:rsidRPr="00992651" w:rsidRDefault="00062221" w:rsidP="005D76C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Groblernziel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0269E" w:rsidRDefault="0020269E" w:rsidP="0020269E">
            <w:pPr>
              <w:pStyle w:val="berschrift1"/>
              <w:spacing w:before="0"/>
              <w:outlineLvl w:val="0"/>
              <w:rPr>
                <w:rStyle w:val="ListLabel1"/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0" w:name="_Toc489873723"/>
          </w:p>
          <w:p w:rsidR="000A5BCF" w:rsidRPr="00B71B6F" w:rsidRDefault="00C306CF" w:rsidP="0020269E">
            <w:pPr>
              <w:pStyle w:val="berschrift1"/>
              <w:spacing w:before="0"/>
              <w:outlineLvl w:val="0"/>
              <w:rPr>
                <w:rStyle w:val="ListLabel1"/>
                <w:rFonts w:ascii="Arial" w:hAnsi="Arial" w:cs="Arial"/>
                <w:sz w:val="20"/>
                <w:szCs w:val="20"/>
              </w:rPr>
            </w:pPr>
            <w:r w:rsidRPr="00B71B6F">
              <w:rPr>
                <w:rStyle w:val="ListLabel1"/>
                <w:rFonts w:ascii="Arial" w:hAnsi="Arial" w:cs="Arial"/>
                <w:color w:val="000000" w:themeColor="text1"/>
                <w:sz w:val="20"/>
                <w:szCs w:val="20"/>
              </w:rPr>
              <w:t>4. Die Organisation des Gerichts</w:t>
            </w:r>
            <w:bookmarkEnd w:id="10"/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C5CA2" w:rsidRDefault="007C5CA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0A5BCF" w:rsidRPr="00797C83" w:rsidRDefault="00C306CF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7C83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Lernziel-stufe</w:t>
            </w:r>
          </w:p>
        </w:tc>
        <w:tc>
          <w:tcPr>
            <w:tcW w:w="167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Pr="00B71B6F" w:rsidRDefault="00C306CF" w:rsidP="005D76C5">
            <w:pPr>
              <w:rPr>
                <w:rFonts w:ascii="Arial" w:hAnsi="Arial" w:cs="Arial"/>
                <w:b/>
                <w:color w:val="00000A"/>
                <w:sz w:val="20"/>
                <w:szCs w:val="22"/>
              </w:rPr>
            </w:pPr>
            <w:r w:rsidRPr="00B71B6F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2"/>
              </w:rPr>
              <w:t>Anzahl Doppel-stunden</w:t>
            </w:r>
          </w:p>
        </w:tc>
      </w:tr>
      <w:tr w:rsidR="000A5BCF" w:rsidRPr="009F3C15" w:rsidTr="005820C6"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C3018" w:rsidRDefault="006C3018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62221" w:rsidRDefault="00062221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Richtlernziel</w:t>
            </w:r>
          </w:p>
          <w:p w:rsidR="000A5BCF" w:rsidRPr="00992651" w:rsidRDefault="000A5BCF" w:rsidP="005D76C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A5BCF" w:rsidRPr="00B71B6F" w:rsidRDefault="00C306CF" w:rsidP="00D212E2">
            <w:pPr>
              <w:pStyle w:val="berschrift2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11" w:name="_Toc489873724"/>
            <w:r w:rsidRPr="00B71B6F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4.1 Die Geschäftsstellen</w:t>
            </w:r>
            <w:bookmarkEnd w:id="11"/>
            <w:r w:rsidRPr="00B71B6F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A5BCF" w:rsidRPr="00797C83" w:rsidRDefault="000A5B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24E6D" w:rsidRDefault="00A24E6D" w:rsidP="00A24E6D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2"/>
              </w:rPr>
            </w:pPr>
          </w:p>
          <w:p w:rsidR="009307BA" w:rsidRDefault="003E7613" w:rsidP="00A24E6D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2"/>
              </w:rPr>
              <w:t>2</w:t>
            </w:r>
            <w:r w:rsidR="00797C83">
              <w:rPr>
                <w:rFonts w:ascii="Arial" w:hAnsi="Arial" w:cs="Arial"/>
                <w:b/>
                <w:color w:val="00000A"/>
                <w:sz w:val="20"/>
                <w:szCs w:val="22"/>
              </w:rPr>
              <w:t xml:space="preserve"> </w:t>
            </w:r>
            <w:proofErr w:type="spellStart"/>
            <w:r w:rsidR="00797C83">
              <w:rPr>
                <w:rFonts w:ascii="Arial" w:hAnsi="Arial" w:cs="Arial"/>
                <w:b/>
                <w:color w:val="00000A"/>
                <w:sz w:val="20"/>
                <w:szCs w:val="22"/>
              </w:rPr>
              <w:t>DS</w:t>
            </w:r>
            <w:r w:rsidR="00C306CF" w:rsidRPr="00B71B6F">
              <w:rPr>
                <w:rFonts w:ascii="Arial" w:hAnsi="Arial" w:cs="Arial"/>
                <w:b/>
                <w:color w:val="00000A"/>
                <w:sz w:val="20"/>
                <w:szCs w:val="22"/>
              </w:rPr>
              <w:t>t</w:t>
            </w:r>
            <w:r w:rsidR="00797C83">
              <w:rPr>
                <w:rFonts w:ascii="Arial" w:hAnsi="Arial" w:cs="Arial"/>
                <w:b/>
                <w:color w:val="00000A"/>
                <w:sz w:val="20"/>
                <w:szCs w:val="22"/>
              </w:rPr>
              <w:t>d</w:t>
            </w:r>
            <w:proofErr w:type="spellEnd"/>
            <w:r w:rsidR="00C306CF" w:rsidRPr="00B71B6F">
              <w:rPr>
                <w:rFonts w:ascii="Arial" w:hAnsi="Arial" w:cs="Arial"/>
                <w:b/>
                <w:color w:val="00000A"/>
                <w:sz w:val="20"/>
                <w:szCs w:val="22"/>
              </w:rPr>
              <w:t>.</w:t>
            </w:r>
          </w:p>
          <w:p w:rsidR="000A5BCF" w:rsidRPr="00B71B6F" w:rsidRDefault="009307BA" w:rsidP="00A24E6D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2"/>
              </w:rPr>
              <w:t xml:space="preserve"> </w:t>
            </w:r>
            <w:r w:rsidR="00C306CF" w:rsidRPr="00B71B6F">
              <w:rPr>
                <w:rFonts w:ascii="Arial" w:hAnsi="Arial" w:cs="Arial"/>
                <w:b/>
                <w:color w:val="00000A"/>
                <w:sz w:val="20"/>
                <w:szCs w:val="22"/>
              </w:rPr>
              <w:t xml:space="preserve"> </w:t>
            </w:r>
          </w:p>
        </w:tc>
      </w:tr>
      <w:tr w:rsidR="000A5BCF" w:rsidRPr="009F3C15" w:rsidTr="005820C6"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C3018" w:rsidRDefault="006C3018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A5BCF" w:rsidRPr="00992651" w:rsidRDefault="00C306CF" w:rsidP="005D76C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Feinlernziele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9E7C34" w:rsidRPr="009E7C34" w:rsidRDefault="00C306CF" w:rsidP="00103D94">
            <w:pPr>
              <w:spacing w:before="240"/>
              <w:rPr>
                <w:rFonts w:ascii="Arial" w:hAnsi="Arial" w:cs="Arial"/>
                <w:iCs/>
                <w:color w:val="00000A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Die Lernenden sollen den Begriff und die Bedeutun</w:t>
            </w:r>
            <w:r w:rsidR="009E7C34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g der Geschäftsstellen kennen </w:t>
            </w:r>
            <w:r w:rsidRPr="00103D94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(§ 153 GVG</w:t>
            </w:r>
            <w:r w:rsidR="00103D94" w:rsidRPr="00103D94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)</w:t>
            </w:r>
            <w:r w:rsidR="009E7C34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Pr="00797C83" w:rsidRDefault="00C306CF" w:rsidP="005820C6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797C83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1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Pr="00992651" w:rsidRDefault="000A5BCF" w:rsidP="005D76C5">
            <w:pPr>
              <w:rPr>
                <w:rFonts w:asciiTheme="minorHAnsi" w:hAnsiTheme="minorHAnsi"/>
                <w:b/>
                <w:color w:val="00000A"/>
                <w:sz w:val="20"/>
                <w:szCs w:val="22"/>
              </w:rPr>
            </w:pPr>
          </w:p>
        </w:tc>
      </w:tr>
      <w:tr w:rsidR="000A5BCF" w:rsidRPr="009F3C15" w:rsidTr="005820C6"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C3018" w:rsidRDefault="006C3018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62221" w:rsidRDefault="00062221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Richtlernziel</w:t>
            </w:r>
          </w:p>
          <w:p w:rsidR="000A5BCF" w:rsidRPr="00992651" w:rsidRDefault="000A5BCF" w:rsidP="005D76C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A5BCF" w:rsidRPr="00B71B6F" w:rsidRDefault="00C306CF" w:rsidP="00D212E2">
            <w:pPr>
              <w:pStyle w:val="berschrift2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12" w:name="_Toc489873725"/>
            <w:r w:rsidRPr="00B71B6F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4.2 Die Behörden-/</w:t>
            </w:r>
            <w:r w:rsidR="00D61E84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B71B6F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Geschäftsleitung</w:t>
            </w:r>
            <w:bookmarkEnd w:id="12"/>
            <w:r w:rsidRPr="00B71B6F">
              <w:rPr>
                <w:rStyle w:val="SchwacheHervorhebung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Pr="00797C83" w:rsidRDefault="000A5BCF" w:rsidP="005820C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Pr="00992651" w:rsidRDefault="000A5BCF" w:rsidP="005D76C5">
            <w:pPr>
              <w:rPr>
                <w:rFonts w:asciiTheme="minorHAnsi" w:hAnsiTheme="minorHAnsi"/>
                <w:b/>
                <w:color w:val="00000A"/>
                <w:sz w:val="20"/>
                <w:szCs w:val="22"/>
              </w:rPr>
            </w:pPr>
          </w:p>
        </w:tc>
      </w:tr>
      <w:tr w:rsidR="000A5BCF" w:rsidRPr="009F3C15" w:rsidTr="005820C6"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C3018" w:rsidRDefault="006C3018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A5BCF" w:rsidRPr="00992651" w:rsidRDefault="00C306CF" w:rsidP="005D76C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Feinlernziele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A5BCF" w:rsidRPr="00992651" w:rsidRDefault="00C306CF" w:rsidP="005820C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Die Lernenden sollen die Aufgaben, die Besetzu</w:t>
            </w:r>
            <w:r w:rsidR="005820C6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ng und die Stellung verstehen.</w:t>
            </w:r>
            <w:r w:rsidR="005820C6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br/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Pr="005A3056" w:rsidRDefault="000A5BCF" w:rsidP="0058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07BA" w:rsidRPr="009307BA" w:rsidRDefault="009307BA" w:rsidP="005820C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B3B7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Pr="00992651" w:rsidRDefault="000A5BCF" w:rsidP="005D76C5">
            <w:pPr>
              <w:rPr>
                <w:rFonts w:asciiTheme="minorHAnsi" w:hAnsiTheme="minorHAnsi"/>
                <w:b/>
                <w:color w:val="00000A"/>
                <w:sz w:val="20"/>
                <w:szCs w:val="22"/>
              </w:rPr>
            </w:pPr>
          </w:p>
        </w:tc>
      </w:tr>
      <w:tr w:rsidR="000A5BCF" w:rsidRPr="009F3C15" w:rsidTr="005820C6"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C3018" w:rsidRDefault="006C3018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62221" w:rsidRDefault="00062221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Richtlernziel</w:t>
            </w:r>
          </w:p>
          <w:p w:rsidR="000A5BCF" w:rsidRPr="00F00190" w:rsidRDefault="000A5BCF" w:rsidP="005D76C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A5BCF" w:rsidRPr="00F00190" w:rsidRDefault="005820C6" w:rsidP="00D212E2">
            <w:pPr>
              <w:pStyle w:val="berschrift2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13" w:name="_Toc489873728"/>
            <w:r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4.4</w:t>
            </w:r>
            <w:r w:rsidR="00C306CF" w:rsidRPr="00F00190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 Die Serviceeinheiten</w:t>
            </w:r>
            <w:bookmarkEnd w:id="13"/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Pr="00F00190" w:rsidRDefault="000A5BCF" w:rsidP="005820C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Pr="00F00190" w:rsidRDefault="000A5BCF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0A5BCF" w:rsidRPr="009F3C15" w:rsidTr="005820C6"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C3018" w:rsidRDefault="006C3018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A5BCF" w:rsidRPr="00F00190" w:rsidRDefault="00C306CF" w:rsidP="005D76C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Feinlernziele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A5BCF" w:rsidRPr="00F00190" w:rsidRDefault="00C306CF" w:rsidP="00216F0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Die Lernenden sollen die Aufgaben und Stellung verstehen. 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Pr="00F00190" w:rsidRDefault="00C306CF" w:rsidP="005820C6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2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Pr="00F00190" w:rsidRDefault="000A5BCF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0A5BCF" w:rsidRPr="009F3C15" w:rsidTr="005820C6"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C3018" w:rsidRDefault="006C3018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62221" w:rsidRDefault="00062221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Richtlernziel</w:t>
            </w:r>
          </w:p>
          <w:p w:rsidR="006B3B2C" w:rsidRPr="00F00190" w:rsidRDefault="006B3B2C" w:rsidP="005D76C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C3018" w:rsidRDefault="006C3018" w:rsidP="006B3B2C">
            <w:pPr>
              <w:pStyle w:val="berschrift2"/>
              <w:spacing w:before="0"/>
              <w:outlineLvl w:val="1"/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bookmarkStart w:id="14" w:name="_Toc489873729"/>
          </w:p>
          <w:p w:rsidR="006B3B2C" w:rsidRPr="006B3B2C" w:rsidRDefault="005820C6" w:rsidP="006B3B2C">
            <w:pPr>
              <w:pStyle w:val="berschrift2"/>
              <w:spacing w:before="0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4.5</w:t>
            </w:r>
            <w:r w:rsidR="00C306CF" w:rsidRPr="00F00190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 Die Geschäftsprüfung</w:t>
            </w:r>
            <w:bookmarkEnd w:id="14"/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A5BCF" w:rsidRPr="00F00190" w:rsidRDefault="000A5BCF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Pr="00F00190" w:rsidRDefault="000A5BCF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0A5BCF" w:rsidRPr="009F3C15" w:rsidTr="005820C6"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B3B2C" w:rsidRDefault="006B3B2C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6B3B2C" w:rsidRPr="006B3B2C" w:rsidRDefault="006B3B2C" w:rsidP="005D76C5">
            <w:p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Feinlernziel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A5BCF" w:rsidRPr="00F00190" w:rsidRDefault="00C306CF" w:rsidP="00216F0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Die Lernenden sollen das Prinzip der Geschäftsprüfung kennen.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Pr="00F00190" w:rsidRDefault="00C306CF" w:rsidP="005820C6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1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Pr="00F00190" w:rsidRDefault="000A5BCF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0A5BCF" w:rsidRPr="009F3C15" w:rsidTr="005820C6"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B3B2C" w:rsidRDefault="006B3B2C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62221" w:rsidRDefault="00062221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Richtlernziel</w:t>
            </w:r>
          </w:p>
          <w:p w:rsidR="006B3B2C" w:rsidRPr="00F00190" w:rsidRDefault="006B3B2C" w:rsidP="005D76C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0A5BCF" w:rsidRPr="00F00190" w:rsidRDefault="005820C6" w:rsidP="00D212E2">
            <w:pPr>
              <w:pStyle w:val="berschrift2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15" w:name="_Toc489873730"/>
            <w:r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4.6</w:t>
            </w:r>
            <w:r w:rsidR="00C306CF" w:rsidRPr="00F00190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 Die Teilgeschäftsstellen</w:t>
            </w:r>
            <w:bookmarkEnd w:id="15"/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Default="000A5BCF" w:rsidP="005820C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121F12" w:rsidRDefault="00121F12" w:rsidP="005820C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121F12" w:rsidRPr="00F00190" w:rsidRDefault="00121F12" w:rsidP="00121F12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Pr="00F00190" w:rsidRDefault="000A5BCF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0A5BCF" w:rsidRPr="009F3C15" w:rsidTr="005820C6"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427F7" w:rsidRDefault="00C427F7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0A5BCF" w:rsidRPr="00F00190" w:rsidRDefault="00C306CF" w:rsidP="005D76C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Feinlernziele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1D4779" w:rsidRDefault="00C306CF" w:rsidP="00216F05">
            <w:pPr>
              <w:spacing w:before="240"/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Die Lernenden sollen die besonderen Dienstp</w:t>
            </w:r>
            <w:r w:rsidR="001D4779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osten und Sachgebiete kennen: </w:t>
            </w:r>
          </w:p>
          <w:p w:rsidR="00D61E84" w:rsidRDefault="001D4779" w:rsidP="001D4779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br/>
              <w:t>- Hinterlegungsstelle</w:t>
            </w:r>
          </w:p>
          <w:p w:rsidR="00D61E84" w:rsidRDefault="001D4779" w:rsidP="001D4779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- Kirchenaustritte</w:t>
            </w:r>
          </w:p>
          <w:p w:rsidR="00D61E84" w:rsidRDefault="001D4779" w:rsidP="001D4779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- </w:t>
            </w:r>
            <w:r w:rsidR="00C306CF"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Info- und Rechtsantra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gstelle</w:t>
            </w:r>
          </w:p>
          <w:p w:rsidR="00D61E84" w:rsidRDefault="001D4779" w:rsidP="001D4779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- Zahlstelle</w:t>
            </w:r>
          </w:p>
          <w:p w:rsidR="00D61E84" w:rsidRDefault="001D4779" w:rsidP="001D4779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- </w:t>
            </w:r>
            <w:r w:rsidR="00C306CF"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Zeugen- und Sachve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rständigenentschädigungsstelle</w:t>
            </w:r>
          </w:p>
          <w:p w:rsidR="00D61E84" w:rsidRDefault="001D4779" w:rsidP="001D4779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- </w:t>
            </w:r>
            <w:r w:rsidR="00C306CF"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Boden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registratur </w:t>
            </w:r>
          </w:p>
          <w:p w:rsidR="000A5BCF" w:rsidRPr="001D4779" w:rsidRDefault="001D4779" w:rsidP="001D4779">
            <w:pPr>
              <w:rPr>
                <w:rFonts w:ascii="Arial" w:hAnsi="Arial" w:cs="Arial"/>
                <w:iCs/>
                <w:color w:val="00000A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- Briefannahmestelle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Pr="00F00190" w:rsidRDefault="00C306CF" w:rsidP="005820C6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1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A5BCF" w:rsidRPr="00F00190" w:rsidRDefault="000A5BCF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5820C6"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Groblernziel</w:t>
            </w:r>
            <w:r w:rsidRPr="00F001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216F05">
            <w:pPr>
              <w:pStyle w:val="berschrift1"/>
              <w:spacing w:before="0"/>
              <w:outlineLvl w:val="0"/>
              <w:rPr>
                <w:rStyle w:val="ListLabel1"/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6" w:name="_Toc489873731"/>
          </w:p>
          <w:p w:rsidR="00787842" w:rsidRDefault="00787842" w:rsidP="00216F05">
            <w:pPr>
              <w:pStyle w:val="berschrift1"/>
              <w:spacing w:before="0"/>
              <w:outlineLvl w:val="0"/>
              <w:rPr>
                <w:rStyle w:val="ListLabel1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190">
              <w:rPr>
                <w:rStyle w:val="ListLabel1"/>
                <w:rFonts w:ascii="Arial" w:hAnsi="Arial" w:cs="Arial"/>
                <w:color w:val="000000" w:themeColor="text1"/>
                <w:sz w:val="20"/>
                <w:szCs w:val="20"/>
              </w:rPr>
              <w:t>5. Der gerichtliche Schriftverkehr</w:t>
            </w:r>
            <w:bookmarkEnd w:id="16"/>
          </w:p>
          <w:p w:rsidR="00787842" w:rsidRPr="00347A41" w:rsidRDefault="00787842" w:rsidP="00347A41"/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Lernziel-stufe</w:t>
            </w:r>
          </w:p>
        </w:tc>
        <w:tc>
          <w:tcPr>
            <w:tcW w:w="167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Anzahl Doppel-stunden</w:t>
            </w:r>
          </w:p>
        </w:tc>
      </w:tr>
      <w:tr w:rsidR="00787842" w:rsidRPr="009F3C15" w:rsidTr="005820C6"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787842" w:rsidRDefault="00787842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Richtlernziel</w:t>
            </w:r>
          </w:p>
          <w:p w:rsidR="00787842" w:rsidRPr="00F00190" w:rsidRDefault="00787842" w:rsidP="005D76C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D212E2">
            <w:pPr>
              <w:pStyle w:val="berschrift2"/>
              <w:outlineLvl w:val="1"/>
              <w:rPr>
                <w:rStyle w:val="SchwacheHervorhebung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  <w:bookmarkStart w:id="17" w:name="_Toc489873732"/>
            <w:r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5.1 Behandlung von Post</w:t>
            </w:r>
            <w:r w:rsidRPr="00F00190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 durch die Briefannahmestelle</w:t>
            </w:r>
            <w:bookmarkEnd w:id="17"/>
            <w:r w:rsidRPr="00F00190">
              <w:rPr>
                <w:rStyle w:val="SchwacheHervorhebung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787842" w:rsidRPr="00347A41" w:rsidRDefault="00787842" w:rsidP="00347A41"/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9307BA" w:rsidRDefault="00787842" w:rsidP="00A24E6D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  <w:p w:rsidR="005C7896" w:rsidRPr="009307BA" w:rsidRDefault="005C7896" w:rsidP="00A24E6D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  <w:p w:rsidR="009307BA" w:rsidRDefault="005C7896" w:rsidP="00A24E6D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9307BA">
              <w:rPr>
                <w:rFonts w:ascii="Arial" w:hAnsi="Arial" w:cs="Arial"/>
                <w:b/>
                <w:color w:val="00000A"/>
                <w:sz w:val="20"/>
                <w:szCs w:val="20"/>
              </w:rPr>
              <w:t xml:space="preserve">2 </w:t>
            </w:r>
            <w:proofErr w:type="spellStart"/>
            <w:r w:rsidRPr="009307BA">
              <w:rPr>
                <w:rFonts w:ascii="Arial" w:hAnsi="Arial" w:cs="Arial"/>
                <w:b/>
                <w:color w:val="00000A"/>
                <w:sz w:val="20"/>
                <w:szCs w:val="20"/>
              </w:rPr>
              <w:t>DStd</w:t>
            </w:r>
            <w:proofErr w:type="spellEnd"/>
            <w:r w:rsidRPr="009307BA">
              <w:rPr>
                <w:rFonts w:ascii="Arial" w:hAnsi="Arial" w:cs="Arial"/>
                <w:b/>
                <w:color w:val="00000A"/>
                <w:sz w:val="20"/>
                <w:szCs w:val="20"/>
              </w:rPr>
              <w:t>.</w:t>
            </w:r>
          </w:p>
          <w:p w:rsidR="005C7896" w:rsidRPr="009307BA" w:rsidRDefault="009307BA" w:rsidP="00A24E6D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307BA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 xml:space="preserve"> </w:t>
            </w:r>
            <w:r w:rsidR="005C7896" w:rsidRPr="009307B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787842" w:rsidRPr="009307BA" w:rsidRDefault="00787842" w:rsidP="00A24E6D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9307BA">
              <w:rPr>
                <w:rFonts w:ascii="Arial" w:hAnsi="Arial" w:cs="Arial"/>
                <w:b/>
                <w:color w:val="00000A"/>
                <w:sz w:val="20"/>
                <w:szCs w:val="20"/>
              </w:rPr>
              <w:t xml:space="preserve"> </w:t>
            </w:r>
          </w:p>
        </w:tc>
      </w:tr>
      <w:tr w:rsidR="00787842" w:rsidRPr="009F3C15" w:rsidTr="005820C6"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Feinlernziele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820C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Die Lernenden sollen die Aufgaben der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 Briefannahmestelle kennen und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br/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787842" w:rsidP="005820C6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1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5820C6">
        <w:trPr>
          <w:trHeight w:val="1053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820C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den Unterschied zwischen der Briefannahmestelle und der gemeinsamen</w:t>
            </w:r>
            <w:r w:rsidR="005A3056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 Briefannahmestelle </w:t>
            </w:r>
            <w:r w:rsidR="005A3056" w:rsidRPr="00C2547B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>k</w:t>
            </w:r>
            <w:r w:rsidR="009307BA" w:rsidRPr="00C2547B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ennen. </w:t>
            </w:r>
            <w:r w:rsidRPr="00C2547B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br/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5A3056" w:rsidRDefault="00787842" w:rsidP="009B3B7D">
            <w:pPr>
              <w:rPr>
                <w:rFonts w:ascii="Arial" w:hAnsi="Arial" w:cs="Arial"/>
                <w:b/>
                <w:strike/>
                <w:color w:val="00000A"/>
                <w:sz w:val="20"/>
                <w:szCs w:val="20"/>
              </w:rPr>
            </w:pPr>
          </w:p>
          <w:p w:rsidR="009307BA" w:rsidRPr="009307BA" w:rsidRDefault="009307BA" w:rsidP="005820C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B3B7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5820C6">
        <w:trPr>
          <w:trHeight w:val="1053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Default="00787842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787842" w:rsidRDefault="00787842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Richtlernziel</w:t>
            </w:r>
          </w:p>
          <w:p w:rsidR="00787842" w:rsidRPr="00DB646F" w:rsidRDefault="00787842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2F128D">
            <w:pPr>
              <w:pStyle w:val="berschrift2"/>
              <w:spacing w:before="0"/>
              <w:outlineLvl w:val="1"/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bookmarkStart w:id="18" w:name="_Toc489873733"/>
          </w:p>
          <w:p w:rsidR="00787842" w:rsidRPr="00F00190" w:rsidRDefault="00787842" w:rsidP="00D61E84">
            <w:pPr>
              <w:pStyle w:val="berschrift2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5.2 Behandlung von Post</w:t>
            </w:r>
            <w:r w:rsidRPr="00DB646F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 durch die Serviceeinheit</w:t>
            </w:r>
            <w:bookmarkEnd w:id="18"/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787842" w:rsidP="005820C6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5820C6">
        <w:trPr>
          <w:trHeight w:val="1053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DB646F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DB646F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Feinlernziele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216F0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Die Lernenden sollen die Aufgaben bei der Behandlung von unterschiedlichen Posteingängen und Postausgängen verstehen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, anwenden und bewerten können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  <w:shd w:val="clear" w:color="auto" w:fill="FFFF00"/>
              </w:rPr>
              <w:br/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(P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rüfen der Zuständigkeit, Präsentation, verfahrenseinleitendes Schriftstück/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 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laufendes Verfahren)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787842" w:rsidP="005820C6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4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5820C6">
        <w:trPr>
          <w:trHeight w:val="1053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DB646F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DB646F" w:rsidRDefault="00787842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Groblernziel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216F05">
            <w:pPr>
              <w:pStyle w:val="berschrift1"/>
              <w:spacing w:before="0"/>
              <w:outlineLvl w:val="0"/>
              <w:rPr>
                <w:rStyle w:val="ListLabel1"/>
                <w:rFonts w:ascii="Arial" w:hAnsi="Arial" w:cs="Arial"/>
                <w:sz w:val="20"/>
                <w:szCs w:val="20"/>
              </w:rPr>
            </w:pPr>
            <w:bookmarkStart w:id="19" w:name="_Toc489873734"/>
          </w:p>
          <w:p w:rsidR="00787842" w:rsidRPr="00F00190" w:rsidRDefault="00787842" w:rsidP="00216F05">
            <w:pPr>
              <w:pStyle w:val="berschrift1"/>
              <w:spacing w:before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B646F">
              <w:rPr>
                <w:rStyle w:val="ListLabel1"/>
                <w:rFonts w:ascii="Arial" w:hAnsi="Arial" w:cs="Arial"/>
                <w:color w:val="000000" w:themeColor="text1"/>
                <w:sz w:val="20"/>
                <w:szCs w:val="20"/>
              </w:rPr>
              <w:t>6. Aktenregister – Führung der Register und Behandlung von besonderen Vorgängen</w:t>
            </w:r>
            <w:bookmarkEnd w:id="19"/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Lernziel-stufe</w:t>
            </w:r>
          </w:p>
        </w:tc>
        <w:tc>
          <w:tcPr>
            <w:tcW w:w="167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Anzahl Doppel-stunden</w:t>
            </w:r>
          </w:p>
        </w:tc>
      </w:tr>
      <w:tr w:rsidR="00787842" w:rsidRPr="009F3C15" w:rsidTr="00121F12">
        <w:trPr>
          <w:trHeight w:val="532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Default="00787842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Richtlernziel</w:t>
            </w:r>
          </w:p>
          <w:p w:rsidR="00787842" w:rsidRPr="00DB646F" w:rsidRDefault="00787842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D212E2">
            <w:pPr>
              <w:pStyle w:val="berschrift2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20" w:name="_Toc489873735"/>
            <w:r w:rsidRPr="00DB646F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6.1 Register in der Rechtspflege</w:t>
            </w:r>
            <w:bookmarkEnd w:id="20"/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C2547B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  <w:p w:rsidR="00B164A7" w:rsidRPr="00B164A7" w:rsidRDefault="00B164A7" w:rsidP="0068377F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2547B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 w:rsidRPr="00C2547B">
              <w:rPr>
                <w:rFonts w:ascii="Arial" w:hAnsi="Arial" w:cs="Arial"/>
                <w:b/>
                <w:sz w:val="20"/>
                <w:szCs w:val="20"/>
              </w:rPr>
              <w:t>DStd</w:t>
            </w:r>
            <w:proofErr w:type="spellEnd"/>
            <w:r w:rsidRPr="00C2547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787842" w:rsidRPr="009F3C15" w:rsidTr="005820C6">
        <w:trPr>
          <w:trHeight w:val="1053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  <w:p w:rsidR="00C2547B" w:rsidRPr="00F00190" w:rsidRDefault="00C2547B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DB646F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Feinlernziele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C2547B" w:rsidP="008F40E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Die Lernenden sollen </w:t>
            </w:r>
            <w:r w:rsidR="00787842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</w:t>
            </w:r>
            <w:r w:rsidR="00787842"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ie geschäftliche Behandlung 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von Dienstaufsichtsbeschwerden </w:t>
            </w:r>
            <w:r w:rsidR="00787842"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und Ablehnungen von Richtern, Rechtspflegern und Urkundsbeamten kennen lernen. 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787842" w:rsidP="005820C6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Fonts w:ascii="Arial" w:hAnsi="Arial" w:cs="Arial"/>
                <w:b/>
                <w:color w:val="00000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121F12">
        <w:trPr>
          <w:trHeight w:val="999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45D9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Die Lernenden sollen </w:t>
            </w:r>
            <w:r w:rsidR="005A3056" w:rsidRPr="00C2547B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kennen, 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wie formlose Rechtsbehelfe, wie Dienstaufsichtsbeschwerde</w:t>
            </w:r>
            <w:r w:rsidR="00BB568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n oder die Gegenvorstellung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 von den förmlichen R</w:t>
            </w:r>
            <w:r w:rsidR="00545D97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echtsbehelfen abgegrenzt werden.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Default="00787842" w:rsidP="009B3B7D">
            <w:pPr>
              <w:rPr>
                <w:rFonts w:ascii="Arial" w:hAnsi="Arial" w:cs="Arial"/>
                <w:b/>
                <w:strike/>
                <w:color w:val="00000A"/>
                <w:sz w:val="20"/>
                <w:szCs w:val="20"/>
              </w:rPr>
            </w:pPr>
          </w:p>
          <w:p w:rsidR="005A3056" w:rsidRPr="005A3056" w:rsidRDefault="005A3056" w:rsidP="005820C6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9B3B7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121F12">
        <w:trPr>
          <w:trHeight w:val="566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121F12" w:rsidRDefault="00121F12" w:rsidP="00545D97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545D97" w:rsidP="00545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Die Anwärter*innen beherrschen </w:t>
            </w:r>
            <w:r w:rsidR="00787842"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die Bi</w:t>
            </w:r>
            <w:r w:rsidR="00787842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ldung der Aktenzeichen </w:t>
            </w:r>
            <w:r w:rsidR="00787842"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br/>
            </w:r>
            <w:r w:rsidR="00787842" w:rsidRPr="005820C6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(Aufbau, Registerzeichen, besondere Bestimmungen)</w:t>
            </w:r>
            <w:r w:rsidR="00787842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545D97" w:rsidP="00447FDF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</w:rPr>
              <w:t>3</w:t>
            </w:r>
          </w:p>
        </w:tc>
        <w:tc>
          <w:tcPr>
            <w:tcW w:w="167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A3056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854A20">
        <w:trPr>
          <w:trHeight w:val="1053"/>
        </w:trPr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787842" w:rsidRPr="00062221" w:rsidRDefault="00787842" w:rsidP="00062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Groblernziel</w:t>
            </w:r>
            <w:r w:rsidRPr="000622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6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431454">
            <w:pPr>
              <w:pStyle w:val="berschrift1"/>
              <w:spacing w:before="0"/>
              <w:outlineLvl w:val="0"/>
              <w:rPr>
                <w:rStyle w:val="ListLabel1"/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1" w:name="_Toc489873736"/>
          </w:p>
          <w:p w:rsidR="00787842" w:rsidRPr="00F00190" w:rsidRDefault="00787842" w:rsidP="00431454">
            <w:pPr>
              <w:pStyle w:val="berschrift1"/>
              <w:spacing w:before="0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190">
              <w:rPr>
                <w:rStyle w:val="ListLabel1"/>
                <w:rFonts w:ascii="Arial" w:hAnsi="Arial" w:cs="Arial"/>
                <w:color w:val="000000" w:themeColor="text1"/>
                <w:sz w:val="20"/>
                <w:szCs w:val="20"/>
              </w:rPr>
              <w:t>7. Gerichtliche Akten in der Rechtspflege</w:t>
            </w:r>
            <w:bookmarkEnd w:id="21"/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Lernziel-stufe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Anzahl Doppel-stunden</w:t>
            </w:r>
          </w:p>
        </w:tc>
      </w:tr>
      <w:tr w:rsidR="00787842" w:rsidRPr="009F3C15" w:rsidTr="00494B17">
        <w:trPr>
          <w:trHeight w:val="605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787842" w:rsidRPr="00347A41" w:rsidRDefault="00787842" w:rsidP="00347A41">
            <w:p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Richtlernziel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D212E2">
            <w:pPr>
              <w:pStyle w:val="berschrift2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2" w:name="_Toc489873737"/>
            <w:r w:rsidRPr="00F00190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7.1 Die Bildung von Akten</w:t>
            </w:r>
            <w:bookmarkEnd w:id="22"/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87842" w:rsidRPr="005A3056" w:rsidRDefault="00787842" w:rsidP="00A24E6D">
            <w:pPr>
              <w:jc w:val="right"/>
              <w:rPr>
                <w:rFonts w:ascii="Arial" w:hAnsi="Arial" w:cs="Arial"/>
                <w:b/>
                <w:strike/>
                <w:color w:val="00000A"/>
                <w:sz w:val="20"/>
                <w:szCs w:val="20"/>
              </w:rPr>
            </w:pPr>
          </w:p>
          <w:p w:rsidR="005A3056" w:rsidRDefault="005A3056" w:rsidP="00C2547B">
            <w:pPr>
              <w:rPr>
                <w:rFonts w:ascii="Arial" w:hAnsi="Arial" w:cs="Arial"/>
                <w:b/>
                <w:strike/>
                <w:color w:val="00000A"/>
                <w:sz w:val="20"/>
                <w:szCs w:val="20"/>
              </w:rPr>
            </w:pPr>
          </w:p>
          <w:p w:rsidR="005C7896" w:rsidRPr="005A3056" w:rsidRDefault="005A3056" w:rsidP="00A24E6D">
            <w:pPr>
              <w:jc w:val="right"/>
              <w:rPr>
                <w:rFonts w:ascii="Arial" w:hAnsi="Arial" w:cs="Arial"/>
                <w:b/>
                <w:strike/>
                <w:color w:val="00000A"/>
                <w:sz w:val="20"/>
                <w:szCs w:val="20"/>
              </w:rPr>
            </w:pPr>
            <w:r w:rsidRPr="00C2547B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proofErr w:type="spellStart"/>
            <w:r w:rsidRPr="00C2547B">
              <w:rPr>
                <w:rFonts w:ascii="Arial" w:hAnsi="Arial" w:cs="Arial"/>
                <w:b/>
                <w:sz w:val="20"/>
                <w:szCs w:val="20"/>
              </w:rPr>
              <w:t>DStd</w:t>
            </w:r>
            <w:proofErr w:type="spellEnd"/>
            <w:r w:rsidRPr="00C2547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. </w:t>
            </w:r>
            <w:r w:rsidR="005C7896" w:rsidRPr="005A3056">
              <w:rPr>
                <w:rFonts w:ascii="Arial" w:hAnsi="Arial" w:cs="Arial"/>
                <w:b/>
                <w:strike/>
                <w:color w:val="00000A"/>
                <w:sz w:val="20"/>
                <w:szCs w:val="20"/>
              </w:rPr>
              <w:t xml:space="preserve"> </w:t>
            </w:r>
          </w:p>
          <w:p w:rsidR="005C7896" w:rsidRPr="005A3056" w:rsidRDefault="005C7896" w:rsidP="00A24E6D">
            <w:pPr>
              <w:jc w:val="right"/>
              <w:rPr>
                <w:rFonts w:ascii="Arial" w:hAnsi="Arial" w:cs="Arial"/>
                <w:b/>
                <w:strike/>
                <w:color w:val="00000A"/>
                <w:sz w:val="20"/>
                <w:szCs w:val="20"/>
              </w:rPr>
            </w:pPr>
          </w:p>
          <w:p w:rsidR="00787842" w:rsidRPr="005A3056" w:rsidRDefault="00787842" w:rsidP="00A24E6D">
            <w:pPr>
              <w:jc w:val="right"/>
              <w:rPr>
                <w:rFonts w:ascii="Arial" w:hAnsi="Arial" w:cs="Arial"/>
                <w:b/>
                <w:strike/>
                <w:color w:val="00000A"/>
                <w:sz w:val="20"/>
                <w:szCs w:val="20"/>
              </w:rPr>
            </w:pPr>
            <w:r w:rsidRPr="005A3056">
              <w:rPr>
                <w:rFonts w:ascii="Arial" w:hAnsi="Arial" w:cs="Arial"/>
                <w:b/>
                <w:strike/>
                <w:color w:val="00000A"/>
                <w:sz w:val="20"/>
                <w:szCs w:val="20"/>
              </w:rPr>
              <w:t xml:space="preserve"> </w:t>
            </w:r>
          </w:p>
        </w:tc>
      </w:tr>
      <w:tr w:rsidR="00787842" w:rsidRPr="009F3C15" w:rsidTr="00447FDF">
        <w:trPr>
          <w:trHeight w:val="1053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DB646F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DB646F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Feinlernziele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B244F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Die Lernenden sollen den Aufbau v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on Akten erklären können und 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br/>
              <w:t>(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feste Akten, Blattsammlungen</w:t>
            </w:r>
            <w:r w:rsidR="005A3056" w:rsidRPr="00C2547B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>, e-Akte</w:t>
            </w:r>
            <w:r w:rsidRPr="00C2547B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787842" w:rsidP="00447FDF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1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447FDF">
        <w:trPr>
          <w:trHeight w:val="1053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DB646F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B244F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die Bestandteile von Akten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 kennen sowie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br/>
              <w:t>(Aktendeckel und Akteni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nnendeckel, vorgeheftete Aktenteile, usw.) 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787842" w:rsidP="00447FDF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Fonts w:ascii="Arial" w:hAnsi="Arial" w:cs="Arial"/>
                <w:b/>
                <w:color w:val="00000A"/>
                <w:sz w:val="20"/>
                <w:szCs w:val="20"/>
              </w:rPr>
              <w:t>1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447FDF">
        <w:trPr>
          <w:trHeight w:val="1053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DB646F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ie Inhalte von Akten deuten können. </w:t>
            </w:r>
            <w:r w:rsidRPr="00F00190">
              <w:rPr>
                <w:rFonts w:ascii="Arial" w:hAnsi="Arial" w:cs="Arial"/>
                <w:sz w:val="20"/>
                <w:szCs w:val="20"/>
              </w:rPr>
              <w:br/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(Vermerke bzgl. Kosten, Aussonderung, Weglegung, Fristen, Informationen auf Aktendeckeln, Termine)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787842" w:rsidP="00447FDF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Fonts w:ascii="Arial" w:hAnsi="Arial" w:cs="Arial"/>
                <w:b/>
                <w:color w:val="00000A"/>
                <w:sz w:val="20"/>
                <w:szCs w:val="20"/>
              </w:rPr>
              <w:t>3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5820C6">
        <w:trPr>
          <w:trHeight w:val="698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Default="00787842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Richtlernziel</w:t>
            </w:r>
          </w:p>
          <w:p w:rsidR="00787842" w:rsidRPr="00DB646F" w:rsidRDefault="00787842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D212E2">
            <w:pPr>
              <w:pStyle w:val="berschrift2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23" w:name="_Toc489873738"/>
            <w:r w:rsidRPr="00DB646F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7.2 Die Führung von Akten</w:t>
            </w:r>
            <w:bookmarkEnd w:id="23"/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447FDF">
        <w:trPr>
          <w:trHeight w:val="1053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DB646F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DB646F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Feinlernziele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C2547B">
            <w:pPr>
              <w:rPr>
                <w:rFonts w:ascii="Arial" w:hAnsi="Arial" w:cs="Arial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Die Lernenden sollen erkennen, welche Bedeutung die nachvollziehba</w:t>
            </w:r>
            <w:r w:rsidR="00C1543F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re Führung einer Abteilung hat</w:t>
            </w:r>
            <w:r w:rsidR="00C2547B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br/>
              <w:t>(PC-Programm,)</w:t>
            </w:r>
            <w:r w:rsidR="00C1543F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,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787842" w:rsidP="00447FDF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2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447FDF">
        <w:trPr>
          <w:trHeight w:val="1053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DB646F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sie w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issen, wie gerichtliche Akten den Sac</w:t>
            </w:r>
            <w:r w:rsidR="00C1543F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hbearbeitenden vorzulegen sind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br/>
              <w:t>(Abheftung</w:t>
            </w:r>
            <w:r w:rsidRPr="00C2547B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, </w:t>
            </w:r>
            <w:r w:rsidR="00D1185A" w:rsidRPr="00C2547B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Nummerierung, 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Einordnung, Vermerke)</w:t>
            </w:r>
            <w:r w:rsidR="00C1543F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787842" w:rsidP="00447FDF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Fonts w:ascii="Arial" w:hAnsi="Arial" w:cs="Arial"/>
                <w:b/>
                <w:color w:val="00000A"/>
                <w:sz w:val="20"/>
                <w:szCs w:val="20"/>
              </w:rPr>
              <w:t>2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447FDF">
        <w:trPr>
          <w:trHeight w:val="1053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DB646F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C1543F" w:rsidP="005D7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Die Anwärter*innen</w:t>
            </w:r>
            <w:r w:rsidR="00787842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 v</w:t>
            </w:r>
            <w:r w:rsidR="00787842"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erstehen, wie Akten von Abteilungen geführt werden müssen und </w:t>
            </w:r>
            <w:r w:rsidR="00787842"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br/>
              <w:t>(Fristenfach, Posteingangsmappe)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787842" w:rsidP="00447FDF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Fonts w:ascii="Arial" w:hAnsi="Arial" w:cs="Arial"/>
                <w:b/>
                <w:color w:val="00000A"/>
                <w:sz w:val="20"/>
                <w:szCs w:val="20"/>
              </w:rPr>
              <w:t>2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447FDF">
        <w:trPr>
          <w:trHeight w:val="1053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DB646F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9B52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sie 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verstehen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 d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ie Ausführung von Verfügungen, </w:t>
            </w:r>
            <w:proofErr w:type="spellStart"/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Terminsnachrichten</w:t>
            </w:r>
            <w:proofErr w:type="spellEnd"/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 und Ladungen. 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br/>
              <w:t>(Arten, T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ermine, Fristen, Zustellungen)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Default="00787842" w:rsidP="009B3B7D">
            <w:pPr>
              <w:rPr>
                <w:rFonts w:ascii="Arial" w:hAnsi="Arial" w:cs="Arial"/>
                <w:b/>
                <w:strike/>
                <w:color w:val="00000A"/>
                <w:sz w:val="20"/>
                <w:szCs w:val="20"/>
              </w:rPr>
            </w:pPr>
          </w:p>
          <w:p w:rsidR="00D1185A" w:rsidRPr="009B3B7D" w:rsidRDefault="00D1185A" w:rsidP="00447FDF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9B3B7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494B17">
        <w:trPr>
          <w:trHeight w:val="742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Default="00787842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Richtlernziel</w:t>
            </w:r>
          </w:p>
          <w:p w:rsidR="00787842" w:rsidRPr="00DB646F" w:rsidRDefault="00787842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D212E2">
            <w:pPr>
              <w:pStyle w:val="berschrift2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24" w:name="_Toc489873739"/>
            <w:r w:rsidRPr="00DB646F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7.3 Der Schriftverkehr in Akten (Postausgang)</w:t>
            </w:r>
            <w:bookmarkEnd w:id="24"/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787842" w:rsidP="00447FDF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8377F" w:rsidRDefault="0068377F" w:rsidP="0068377F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  <w:p w:rsidR="00787842" w:rsidRPr="00F00190" w:rsidRDefault="00787842" w:rsidP="0068377F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</w:rPr>
              <w:t>2</w:t>
            </w:r>
            <w:r w:rsidR="0068377F">
              <w:rPr>
                <w:rFonts w:ascii="Arial" w:hAnsi="Arial" w:cs="Arial"/>
                <w:b/>
                <w:color w:val="00000A"/>
                <w:sz w:val="20"/>
                <w:szCs w:val="20"/>
              </w:rPr>
              <w:t xml:space="preserve"> </w:t>
            </w:r>
            <w:proofErr w:type="spellStart"/>
            <w:r w:rsidR="0068377F">
              <w:rPr>
                <w:rFonts w:ascii="Arial" w:hAnsi="Arial" w:cs="Arial"/>
                <w:b/>
                <w:color w:val="00000A"/>
                <w:sz w:val="20"/>
                <w:szCs w:val="20"/>
              </w:rPr>
              <w:t>DStd</w:t>
            </w:r>
            <w:proofErr w:type="spellEnd"/>
            <w:r w:rsidR="0068377F">
              <w:rPr>
                <w:rFonts w:ascii="Arial" w:hAnsi="Arial" w:cs="Arial"/>
                <w:b/>
                <w:color w:val="00000A"/>
                <w:sz w:val="20"/>
                <w:szCs w:val="20"/>
              </w:rPr>
              <w:t>.</w:t>
            </w:r>
          </w:p>
        </w:tc>
      </w:tr>
      <w:tr w:rsidR="00787842" w:rsidRPr="009F3C15" w:rsidTr="00447FDF">
        <w:trPr>
          <w:trHeight w:val="1053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DB646F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DB646F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Feinlernziele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Die Lernenden sollen eine Verfügung und Terminierung nach Maßgabe d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er Richtlinien umsetzen können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br/>
              <w:t>(Beglaubigungsvermerk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e, auf Anordnung, Ausfertigung),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787842" w:rsidP="00447FDF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3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447FDF">
        <w:trPr>
          <w:trHeight w:val="1053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Zustellungsarten kennen und unterscheiden können, 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br/>
              <w:t xml:space="preserve">(ZU, EB, formlos, besonderer Wachtmeister, Aushändigung </w:t>
            </w:r>
            <w:r w:rsidR="009E7C34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i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n Gerichtsstelle, öffentliche ZU)</w:t>
            </w:r>
            <w:r w:rsidR="009E7C34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797C83" w:rsidRDefault="00787842" w:rsidP="00447FDF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797C83">
              <w:rPr>
                <w:rFonts w:ascii="Arial" w:hAnsi="Arial" w:cs="Arial"/>
                <w:b/>
                <w:color w:val="00000A"/>
                <w:sz w:val="20"/>
                <w:szCs w:val="20"/>
              </w:rPr>
              <w:t>3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854A20">
        <w:trPr>
          <w:trHeight w:val="846"/>
        </w:trPr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Default="00787842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Richtlernziel</w:t>
            </w:r>
          </w:p>
          <w:p w:rsidR="00787842" w:rsidRPr="00F00190" w:rsidRDefault="00787842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D212E2">
            <w:pPr>
              <w:pStyle w:val="berschrift2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25" w:name="_Toc489873740"/>
            <w:r w:rsidRPr="00DB646F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7.4 Die Weglegung gerichtlicher Akten</w:t>
            </w:r>
            <w:bookmarkEnd w:id="25"/>
            <w:r w:rsidRPr="00DB646F">
              <w:rPr>
                <w:rStyle w:val="SchwacheHervorhebung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787842" w:rsidP="00447FDF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447FDF">
        <w:trPr>
          <w:trHeight w:val="846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Feinlernziele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C2547B" w:rsidRDefault="00787842" w:rsidP="005D76C5">
            <w:pPr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</w:pPr>
          </w:p>
          <w:p w:rsidR="00787842" w:rsidRPr="00C2547B" w:rsidRDefault="00787842" w:rsidP="00B0758C">
            <w:pPr>
              <w:rPr>
                <w:rFonts w:ascii="Arial" w:hAnsi="Arial" w:cs="Arial"/>
                <w:sz w:val="20"/>
                <w:szCs w:val="20"/>
              </w:rPr>
            </w:pPr>
            <w:r w:rsidRPr="00C2547B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Die Lernenden sollen wissen, wie lange die unterschiedlichen Akten aufbewahrt werden und welche Schriftstücke von der Vernichtung auszuschließen sind </w:t>
            </w:r>
            <w:r w:rsidRPr="00C2547B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br/>
              <w:t>(</w:t>
            </w:r>
            <w:r w:rsidR="00D1185A" w:rsidRPr="00C2547B">
              <w:rPr>
                <w:rFonts w:ascii="Arial" w:hAnsi="Arial" w:cs="Arial"/>
                <w:sz w:val="20"/>
                <w:szCs w:val="20"/>
              </w:rPr>
              <w:t>Justizaktenaufbewahrungsverordnung</w:t>
            </w:r>
            <w:r w:rsidR="00C2547B" w:rsidRPr="00C2547B">
              <w:rPr>
                <w:rFonts w:ascii="Arial" w:hAnsi="Arial" w:cs="Arial"/>
                <w:sz w:val="20"/>
                <w:szCs w:val="20"/>
              </w:rPr>
              <w:t>)</w:t>
            </w:r>
            <w:r w:rsidR="00C2547B" w:rsidRPr="00C2547B">
              <w:rPr>
                <w:rStyle w:val="SchwacheHervorhebung"/>
                <w:rFonts w:ascii="Arial" w:hAnsi="Arial" w:cs="Arial"/>
                <w:i w:val="0"/>
                <w:strike/>
                <w:color w:val="auto"/>
                <w:sz w:val="20"/>
                <w:szCs w:val="20"/>
              </w:rPr>
              <w:t>,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Default="00787842" w:rsidP="00447FDF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strike/>
                <w:color w:val="00000A"/>
                <w:sz w:val="20"/>
                <w:szCs w:val="20"/>
              </w:rPr>
            </w:pPr>
          </w:p>
          <w:p w:rsidR="00D1185A" w:rsidRPr="00D1185A" w:rsidRDefault="00D1185A" w:rsidP="00447FDF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9B3B7D">
              <w:rPr>
                <w:rStyle w:val="SchwacheHervorhebung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447FDF">
        <w:trPr>
          <w:trHeight w:val="846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und i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m Rahmen der sog. „Weglegung“ einer Akte die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 Regelungen umsetzen können.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787842" w:rsidP="00447FDF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Fonts w:ascii="Arial" w:hAnsi="Arial" w:cs="Arial"/>
                <w:b/>
                <w:color w:val="00000A"/>
                <w:sz w:val="20"/>
                <w:szCs w:val="20"/>
              </w:rPr>
              <w:t>3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5820C6">
        <w:trPr>
          <w:trHeight w:val="846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Groblernziel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C427F7">
            <w:pPr>
              <w:pStyle w:val="berschrift1"/>
              <w:spacing w:before="0"/>
              <w:outlineLvl w:val="0"/>
              <w:rPr>
                <w:rStyle w:val="ListLabel1"/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6" w:name="_Toc489873741"/>
          </w:p>
          <w:p w:rsidR="00787842" w:rsidRPr="00F00190" w:rsidRDefault="00787842" w:rsidP="00C427F7">
            <w:pPr>
              <w:pStyle w:val="berschrift1"/>
              <w:spacing w:before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B646F">
              <w:rPr>
                <w:rStyle w:val="ListLabel1"/>
                <w:rFonts w:ascii="Arial" w:hAnsi="Arial" w:cs="Arial"/>
                <w:color w:val="000000" w:themeColor="text1"/>
                <w:sz w:val="20"/>
                <w:szCs w:val="20"/>
              </w:rPr>
              <w:t>8. Die Behandlung von Verwahrgegenständen</w:t>
            </w:r>
            <w:bookmarkEnd w:id="26"/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Lernziel-stufe</w:t>
            </w:r>
          </w:p>
        </w:tc>
        <w:tc>
          <w:tcPr>
            <w:tcW w:w="167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Anzahl Doppel-stunden</w:t>
            </w:r>
          </w:p>
        </w:tc>
      </w:tr>
      <w:tr w:rsidR="00787842" w:rsidRPr="009F3C15" w:rsidTr="005820C6">
        <w:trPr>
          <w:trHeight w:val="846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Default="00787842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Richtlernziel</w:t>
            </w:r>
          </w:p>
          <w:p w:rsidR="00787842" w:rsidRPr="00F00190" w:rsidRDefault="00787842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D212E2">
            <w:pPr>
              <w:pStyle w:val="berschrift2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27" w:name="_Toc489873742"/>
            <w:r w:rsidRPr="00DB646F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8.1 Arten von in amtlichen Gewahrsam zu nehmenden Gegenständen</w:t>
            </w:r>
            <w:bookmarkEnd w:id="27"/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A24E6D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  <w:p w:rsidR="005C7896" w:rsidRDefault="005C7896" w:rsidP="00A24E6D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  <w:p w:rsidR="00787842" w:rsidRPr="00F00190" w:rsidRDefault="005C7896" w:rsidP="00A24E6D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395A80">
              <w:rPr>
                <w:rFonts w:ascii="Arial" w:hAnsi="Arial" w:cs="Arial"/>
                <w:b/>
                <w:color w:val="00000A"/>
                <w:sz w:val="20"/>
                <w:szCs w:val="20"/>
              </w:rPr>
              <w:t xml:space="preserve">1 </w:t>
            </w:r>
            <w:proofErr w:type="spellStart"/>
            <w:r w:rsidRPr="00395A80">
              <w:rPr>
                <w:rFonts w:ascii="Arial" w:hAnsi="Arial" w:cs="Arial"/>
                <w:b/>
                <w:color w:val="00000A"/>
                <w:sz w:val="20"/>
                <w:szCs w:val="20"/>
              </w:rPr>
              <w:t>DStd</w:t>
            </w:r>
            <w:proofErr w:type="spellEnd"/>
            <w:r w:rsidRPr="00395A80">
              <w:rPr>
                <w:rFonts w:ascii="Arial" w:hAnsi="Arial" w:cs="Arial"/>
                <w:b/>
                <w:color w:val="00000A"/>
                <w:sz w:val="20"/>
                <w:szCs w:val="20"/>
              </w:rPr>
              <w:t>.</w:t>
            </w:r>
            <w:r w:rsidR="00787842" w:rsidRPr="00F00190">
              <w:rPr>
                <w:rFonts w:ascii="Arial" w:hAnsi="Arial" w:cs="Arial"/>
                <w:b/>
                <w:color w:val="00000A"/>
                <w:sz w:val="20"/>
                <w:szCs w:val="20"/>
              </w:rPr>
              <w:t xml:space="preserve"> </w:t>
            </w:r>
          </w:p>
        </w:tc>
      </w:tr>
      <w:tr w:rsidR="00787842" w:rsidRPr="009F3C15" w:rsidTr="00447FDF">
        <w:trPr>
          <w:trHeight w:val="846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Feinlernziele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Die Lernenden sollen die unterschiedlichen Arten der Gegenstände, die in amtlichen Gewahrsam gelangen können 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kennen und unterscheiden können</w:t>
            </w:r>
            <w:r w:rsidR="009E7C34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 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(Asservate, Fundstücke, Gewahrsamssachen)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D1185A" w:rsidRDefault="00787842" w:rsidP="00447FDF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strike/>
                <w:color w:val="00000A"/>
                <w:sz w:val="20"/>
                <w:szCs w:val="20"/>
              </w:rPr>
            </w:pPr>
          </w:p>
          <w:p w:rsidR="00395A80" w:rsidRPr="00F00190" w:rsidRDefault="00395A80" w:rsidP="00447FDF">
            <w:pPr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9B3B7D">
              <w:rPr>
                <w:rStyle w:val="SchwacheHervorhebung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447FDF">
        <w:trPr>
          <w:trHeight w:val="846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Default="00787842" w:rsidP="00062221">
            <w:pPr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Richtlernziel</w:t>
            </w:r>
          </w:p>
          <w:p w:rsidR="00787842" w:rsidRPr="00F00190" w:rsidRDefault="00787842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D212E2">
            <w:pPr>
              <w:pStyle w:val="berschrift2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28" w:name="_Toc489873743"/>
            <w:r w:rsidRPr="00DB646F">
              <w:rPr>
                <w:rStyle w:val="SchwacheHervorhebung"/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8.2 Die Behandlung von in amtlichen Gewahrsam zu nehmenden Gegenständen</w:t>
            </w:r>
            <w:bookmarkEnd w:id="28"/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Pr="00F00190" w:rsidRDefault="00787842" w:rsidP="00447FDF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447FDF">
        <w:trPr>
          <w:trHeight w:val="846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Feinlernziele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Die Lernenden sollen wissen, wi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e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 in amtlichen Gewahrsam gelangte Gegenstände ordnungsgemäß zu be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handeln und aufzubewahren sind</w:t>
            </w:r>
            <w:r w:rsidR="009E7C34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 </w:t>
            </w:r>
            <w:r w:rsidRPr="00F00190"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(Gewahrsamssachenanweisung, einfach oder gesicherte Aufbewahrung, Übungen zur Liste, Fundsachen)</w:t>
            </w:r>
            <w: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87842" w:rsidRDefault="00787842" w:rsidP="00447FDF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strike/>
                <w:color w:val="00000A"/>
                <w:sz w:val="20"/>
                <w:szCs w:val="20"/>
              </w:rPr>
            </w:pPr>
          </w:p>
          <w:p w:rsidR="00D1185A" w:rsidRPr="009B3B7D" w:rsidRDefault="00D1185A" w:rsidP="00447FDF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9B3B7D">
              <w:rPr>
                <w:rStyle w:val="SchwacheHervorhebung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2</w:t>
            </w:r>
          </w:p>
          <w:p w:rsidR="00395A80" w:rsidRPr="00395A80" w:rsidRDefault="00395A80" w:rsidP="00447FD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</w:tc>
      </w:tr>
      <w:tr w:rsidR="00787842" w:rsidRPr="009F3C15" w:rsidTr="005820C6">
        <w:trPr>
          <w:trHeight w:val="846"/>
        </w:trPr>
        <w:tc>
          <w:tcPr>
            <w:tcW w:w="151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2651">
              <w:rPr>
                <w:rStyle w:val="SchwacheHervorhebung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Groblernziel</w:t>
            </w:r>
          </w:p>
        </w:tc>
        <w:tc>
          <w:tcPr>
            <w:tcW w:w="606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Pr="00D1185A" w:rsidRDefault="00787842" w:rsidP="00B244F0">
            <w:pPr>
              <w:pStyle w:val="berschrift1"/>
              <w:spacing w:before="0"/>
              <w:outlineLvl w:val="0"/>
              <w:rPr>
                <w:rStyle w:val="ListLabel1"/>
                <w:rFonts w:ascii="Arial" w:hAnsi="Arial" w:cs="Arial"/>
                <w:strike/>
                <w:color w:val="FF0000"/>
                <w:sz w:val="20"/>
                <w:szCs w:val="20"/>
              </w:rPr>
            </w:pPr>
            <w:bookmarkStart w:id="29" w:name="_Toc489873744"/>
          </w:p>
          <w:bookmarkEnd w:id="29"/>
          <w:p w:rsidR="00787842" w:rsidRPr="00D1185A" w:rsidRDefault="009E7C34" w:rsidP="00B244F0">
            <w:pPr>
              <w:pStyle w:val="berschrift1"/>
              <w:spacing w:before="0"/>
              <w:outlineLvl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9E7C34">
              <w:rPr>
                <w:rStyle w:val="SchwacheHervorhebung"/>
                <w:rFonts w:ascii="Arial" w:hAnsi="Arial" w:cs="Arial"/>
                <w:i w:val="0"/>
                <w:color w:val="auto"/>
                <w:sz w:val="20"/>
                <w:szCs w:val="20"/>
              </w:rPr>
              <w:t>9. Umgang mit dem Publikum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Lernziel-stufe</w:t>
            </w:r>
          </w:p>
        </w:tc>
        <w:tc>
          <w:tcPr>
            <w:tcW w:w="167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87842" w:rsidRDefault="00787842" w:rsidP="005D76C5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787842" w:rsidRPr="00F00190" w:rsidRDefault="00787842" w:rsidP="005D76C5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F00190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Anzahl Doppel-stunden</w:t>
            </w:r>
          </w:p>
        </w:tc>
      </w:tr>
      <w:tr w:rsidR="009E7C34" w:rsidRPr="009F3C15" w:rsidTr="00DE55BC">
        <w:trPr>
          <w:trHeight w:val="846"/>
        </w:trPr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E7C34" w:rsidRDefault="009E7C34" w:rsidP="009E7C34">
            <w:pP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</w:p>
          <w:p w:rsidR="009E7C34" w:rsidRPr="00F00190" w:rsidRDefault="009E7C34" w:rsidP="009E7C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Feinlernziel</w:t>
            </w:r>
          </w:p>
        </w:tc>
        <w:tc>
          <w:tcPr>
            <w:tcW w:w="606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E7C34" w:rsidRDefault="009E7C34" w:rsidP="009E7C34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</w:p>
          <w:p w:rsidR="009E7C34" w:rsidRPr="003B0CDF" w:rsidRDefault="009E7C34" w:rsidP="009E7C34">
            <w:pPr>
              <w:rPr>
                <w:rFonts w:ascii="Arial" w:hAnsi="Arial" w:cs="Arial"/>
                <w:iCs/>
                <w:color w:val="00000A"/>
                <w:sz w:val="20"/>
                <w:szCs w:val="20"/>
              </w:rPr>
            </w:pPr>
            <w:r w:rsidRPr="003B0CDF">
              <w:rPr>
                <w:rFonts w:ascii="Arial" w:hAnsi="Arial" w:cs="Arial"/>
                <w:iCs/>
                <w:sz w:val="20"/>
                <w:szCs w:val="20"/>
              </w:rPr>
              <w:t>Die Lernenden sollen den Umgang als Dienstleister kennen.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E7C34" w:rsidRPr="00797C83" w:rsidRDefault="009E7C34" w:rsidP="009E7C34">
            <w:pPr>
              <w:jc w:val="center"/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</w:pPr>
            <w:r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E7C34" w:rsidRDefault="009E7C34" w:rsidP="009E7C34">
            <w:pPr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  <w:p w:rsidR="009E7C34" w:rsidRPr="00D1185A" w:rsidRDefault="009E7C34" w:rsidP="009E7C34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9E7C34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 w:rsidRPr="009E7C34">
              <w:rPr>
                <w:rFonts w:ascii="Arial" w:hAnsi="Arial" w:cs="Arial"/>
                <w:b/>
                <w:sz w:val="20"/>
                <w:szCs w:val="20"/>
              </w:rPr>
              <w:t>DStd</w:t>
            </w:r>
            <w:proofErr w:type="spellEnd"/>
            <w:r w:rsidRPr="009E7C3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9E7C34" w:rsidRPr="009F3C15" w:rsidTr="00E17CDA">
        <w:trPr>
          <w:trHeight w:val="846"/>
        </w:trPr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E7C34" w:rsidRPr="00F00190" w:rsidRDefault="009E7C34" w:rsidP="009E7C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E7C34" w:rsidRDefault="009E7C34" w:rsidP="009E7C34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</w:p>
          <w:p w:rsidR="009E7C34" w:rsidRPr="00787842" w:rsidRDefault="009E7C34" w:rsidP="009E7C34">
            <w:pPr>
              <w:rPr>
                <w:rFonts w:ascii="Arial" w:hAnsi="Arial" w:cs="Arial"/>
                <w:b/>
                <w:iCs/>
                <w:color w:val="00000A"/>
                <w:sz w:val="20"/>
                <w:szCs w:val="20"/>
              </w:rPr>
            </w:pPr>
            <w:r w:rsidRPr="00787842">
              <w:rPr>
                <w:rStyle w:val="SchwacheHervorhebung"/>
                <w:rFonts w:ascii="Arial" w:hAnsi="Arial" w:cs="Arial"/>
                <w:b/>
                <w:i w:val="0"/>
                <w:color w:val="00000A"/>
                <w:sz w:val="20"/>
                <w:szCs w:val="20"/>
              </w:rPr>
              <w:t>Klausur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E7C34" w:rsidRPr="00F00190" w:rsidRDefault="009E7C34" w:rsidP="009E7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E7C34" w:rsidRDefault="009E7C34" w:rsidP="009E7C34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  <w:p w:rsidR="009E7C34" w:rsidRPr="00F00190" w:rsidRDefault="009E7C34" w:rsidP="009E7C34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A"/>
                <w:sz w:val="20"/>
                <w:szCs w:val="20"/>
              </w:rPr>
              <w:t>DS</w:t>
            </w:r>
            <w:r w:rsidRPr="00F00190">
              <w:rPr>
                <w:rFonts w:ascii="Arial" w:hAnsi="Arial" w:cs="Arial"/>
                <w:b/>
                <w:color w:val="00000A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color w:val="00000A"/>
                <w:sz w:val="20"/>
                <w:szCs w:val="20"/>
              </w:rPr>
              <w:t>d</w:t>
            </w:r>
            <w:proofErr w:type="spellEnd"/>
            <w:r w:rsidRPr="00F00190">
              <w:rPr>
                <w:rFonts w:ascii="Arial" w:hAnsi="Arial" w:cs="Arial"/>
                <w:b/>
                <w:color w:val="00000A"/>
                <w:sz w:val="20"/>
                <w:szCs w:val="20"/>
              </w:rPr>
              <w:t xml:space="preserve">. </w:t>
            </w:r>
          </w:p>
        </w:tc>
      </w:tr>
      <w:tr w:rsidR="003B0CDF" w:rsidRPr="00F00190" w:rsidTr="00A34B75">
        <w:trPr>
          <w:trHeight w:val="846"/>
        </w:trPr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B0CDF" w:rsidRPr="00F00190" w:rsidRDefault="003B0CDF" w:rsidP="00A34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B0CDF" w:rsidRDefault="003B0CDF" w:rsidP="00A34B75">
            <w:pPr>
              <w:rPr>
                <w:rStyle w:val="SchwacheHervorhebung"/>
                <w:rFonts w:ascii="Arial" w:hAnsi="Arial" w:cs="Arial"/>
                <w:i w:val="0"/>
                <w:color w:val="00000A"/>
                <w:sz w:val="20"/>
                <w:szCs w:val="20"/>
              </w:rPr>
            </w:pPr>
          </w:p>
          <w:p w:rsidR="003B0CDF" w:rsidRPr="003B0CDF" w:rsidRDefault="003B0CDF" w:rsidP="00A34B75">
            <w:pPr>
              <w:rPr>
                <w:rFonts w:ascii="Arial" w:hAnsi="Arial" w:cs="Arial"/>
                <w:b/>
                <w:iCs/>
                <w:color w:val="00000A"/>
                <w:sz w:val="20"/>
                <w:szCs w:val="20"/>
              </w:rPr>
            </w:pPr>
            <w:r w:rsidRPr="003B0CDF">
              <w:rPr>
                <w:rFonts w:ascii="Arial" w:hAnsi="Arial" w:cs="Arial"/>
                <w:b/>
                <w:sz w:val="20"/>
                <w:szCs w:val="20"/>
              </w:rPr>
              <w:t>Führung durch JHW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B0CDF" w:rsidRPr="00F00190" w:rsidRDefault="003B0CDF" w:rsidP="00A34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B0CDF" w:rsidRDefault="003B0CDF" w:rsidP="00A34B75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</w:p>
          <w:p w:rsidR="003B0CDF" w:rsidRPr="00F00190" w:rsidRDefault="003B0CDF" w:rsidP="00A34B75">
            <w:pPr>
              <w:jc w:val="right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color w:val="00000A"/>
                <w:sz w:val="20"/>
                <w:szCs w:val="20"/>
              </w:rPr>
              <w:t>DS</w:t>
            </w:r>
            <w:r w:rsidRPr="00F00190">
              <w:rPr>
                <w:rFonts w:ascii="Arial" w:hAnsi="Arial" w:cs="Arial"/>
                <w:b/>
                <w:color w:val="00000A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color w:val="00000A"/>
                <w:sz w:val="20"/>
                <w:szCs w:val="20"/>
              </w:rPr>
              <w:t>d</w:t>
            </w:r>
            <w:proofErr w:type="spellEnd"/>
            <w:r w:rsidRPr="00F00190">
              <w:rPr>
                <w:rFonts w:ascii="Arial" w:hAnsi="Arial" w:cs="Arial"/>
                <w:b/>
                <w:color w:val="00000A"/>
                <w:sz w:val="20"/>
                <w:szCs w:val="20"/>
              </w:rPr>
              <w:t xml:space="preserve">. </w:t>
            </w:r>
          </w:p>
        </w:tc>
      </w:tr>
    </w:tbl>
    <w:p w:rsidR="00D1185A" w:rsidRPr="009F3C15" w:rsidRDefault="00D1185A" w:rsidP="00D1185A">
      <w:pPr>
        <w:rPr>
          <w:rStyle w:val="SchwacheHervorhebung"/>
          <w:rFonts w:ascii="Calibri" w:hAnsi="Calibri"/>
          <w:sz w:val="22"/>
          <w:szCs w:val="22"/>
        </w:rPr>
      </w:pPr>
    </w:p>
    <w:p w:rsidR="000A5BCF" w:rsidRPr="009F3C15" w:rsidRDefault="000A5BCF" w:rsidP="005D76C5">
      <w:pPr>
        <w:rPr>
          <w:rStyle w:val="SchwacheHervorhebung"/>
          <w:rFonts w:ascii="Calibri" w:hAnsi="Calibri"/>
          <w:sz w:val="22"/>
          <w:szCs w:val="22"/>
        </w:rPr>
      </w:pPr>
    </w:p>
    <w:sectPr w:rsidR="000A5BCF" w:rsidRPr="009F3C15" w:rsidSect="00F10592">
      <w:footerReference w:type="default" r:id="rId8"/>
      <w:footerReference w:type="first" r:id="rId9"/>
      <w:pgSz w:w="11906" w:h="16838"/>
      <w:pgMar w:top="1417" w:right="850" w:bottom="1134" w:left="850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22F" w:rsidRDefault="0049222F" w:rsidP="00F10592">
      <w:r>
        <w:separator/>
      </w:r>
    </w:p>
  </w:endnote>
  <w:endnote w:type="continuationSeparator" w:id="0">
    <w:p w:rsidR="0049222F" w:rsidRDefault="0049222F" w:rsidP="00F1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1072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90106" w:rsidRPr="00C90106" w:rsidRDefault="00C90106">
        <w:pPr>
          <w:pStyle w:val="Fuzeile"/>
          <w:jc w:val="right"/>
          <w:rPr>
            <w:rFonts w:ascii="Arial" w:hAnsi="Arial" w:cs="Arial"/>
            <w:sz w:val="20"/>
          </w:rPr>
        </w:pPr>
        <w:r w:rsidRPr="00C90106">
          <w:rPr>
            <w:rFonts w:ascii="Arial" w:hAnsi="Arial" w:cs="Arial"/>
            <w:sz w:val="20"/>
          </w:rPr>
          <w:fldChar w:fldCharType="begin"/>
        </w:r>
        <w:r w:rsidRPr="00C90106">
          <w:rPr>
            <w:rFonts w:ascii="Arial" w:hAnsi="Arial" w:cs="Arial"/>
            <w:sz w:val="20"/>
          </w:rPr>
          <w:instrText>PAGE   \* MERGEFORMAT</w:instrText>
        </w:r>
        <w:r w:rsidRPr="00C90106">
          <w:rPr>
            <w:rFonts w:ascii="Arial" w:hAnsi="Arial" w:cs="Arial"/>
            <w:sz w:val="20"/>
          </w:rPr>
          <w:fldChar w:fldCharType="separate"/>
        </w:r>
        <w:r w:rsidR="00D55F1C">
          <w:rPr>
            <w:rFonts w:ascii="Arial" w:hAnsi="Arial" w:cs="Arial"/>
            <w:noProof/>
            <w:sz w:val="20"/>
          </w:rPr>
          <w:t>4</w:t>
        </w:r>
        <w:r w:rsidRPr="00C90106">
          <w:rPr>
            <w:rFonts w:ascii="Arial" w:hAnsi="Arial" w:cs="Arial"/>
            <w:sz w:val="20"/>
          </w:rPr>
          <w:fldChar w:fldCharType="end"/>
        </w:r>
      </w:p>
    </w:sdtContent>
  </w:sdt>
  <w:p w:rsidR="00F10592" w:rsidRDefault="00F105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106" w:rsidRDefault="00C90106">
    <w:pPr>
      <w:pStyle w:val="Fuzeile"/>
      <w:jc w:val="right"/>
    </w:pPr>
  </w:p>
  <w:p w:rsidR="00C90106" w:rsidRDefault="00C901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22F" w:rsidRDefault="0049222F" w:rsidP="00F10592">
      <w:r>
        <w:separator/>
      </w:r>
    </w:p>
  </w:footnote>
  <w:footnote w:type="continuationSeparator" w:id="0">
    <w:p w:rsidR="0049222F" w:rsidRDefault="0049222F" w:rsidP="00F10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0288F"/>
    <w:multiLevelType w:val="hybridMultilevel"/>
    <w:tmpl w:val="81A659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15879"/>
    <w:multiLevelType w:val="hybridMultilevel"/>
    <w:tmpl w:val="58D459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1782B"/>
    <w:multiLevelType w:val="hybridMultilevel"/>
    <w:tmpl w:val="D7E878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CF"/>
    <w:rsid w:val="000070BC"/>
    <w:rsid w:val="00025699"/>
    <w:rsid w:val="000262E9"/>
    <w:rsid w:val="000434FB"/>
    <w:rsid w:val="0004607E"/>
    <w:rsid w:val="00062221"/>
    <w:rsid w:val="00076C1D"/>
    <w:rsid w:val="000949A7"/>
    <w:rsid w:val="000A5BCF"/>
    <w:rsid w:val="000C0E15"/>
    <w:rsid w:val="000D1536"/>
    <w:rsid w:val="00103D94"/>
    <w:rsid w:val="00121F12"/>
    <w:rsid w:val="00186549"/>
    <w:rsid w:val="0019684C"/>
    <w:rsid w:val="001A1416"/>
    <w:rsid w:val="001C6FA5"/>
    <w:rsid w:val="001D4779"/>
    <w:rsid w:val="0020269E"/>
    <w:rsid w:val="00203825"/>
    <w:rsid w:val="002140F9"/>
    <w:rsid w:val="00216F05"/>
    <w:rsid w:val="002D2D61"/>
    <w:rsid w:val="002F128D"/>
    <w:rsid w:val="00347A41"/>
    <w:rsid w:val="00395A80"/>
    <w:rsid w:val="003B0CDF"/>
    <w:rsid w:val="003C4C15"/>
    <w:rsid w:val="003D43AD"/>
    <w:rsid w:val="003E15C3"/>
    <w:rsid w:val="003E7613"/>
    <w:rsid w:val="003F4042"/>
    <w:rsid w:val="00400C4A"/>
    <w:rsid w:val="00431454"/>
    <w:rsid w:val="00447FDF"/>
    <w:rsid w:val="00452943"/>
    <w:rsid w:val="0049222F"/>
    <w:rsid w:val="00494B17"/>
    <w:rsid w:val="004E3A4E"/>
    <w:rsid w:val="005425C6"/>
    <w:rsid w:val="0054467F"/>
    <w:rsid w:val="00545D97"/>
    <w:rsid w:val="005820C6"/>
    <w:rsid w:val="005863ED"/>
    <w:rsid w:val="00591C53"/>
    <w:rsid w:val="005A3056"/>
    <w:rsid w:val="005C418B"/>
    <w:rsid w:val="005C7896"/>
    <w:rsid w:val="005D76C5"/>
    <w:rsid w:val="00617146"/>
    <w:rsid w:val="0068377F"/>
    <w:rsid w:val="006B3B2C"/>
    <w:rsid w:val="006C3018"/>
    <w:rsid w:val="00750823"/>
    <w:rsid w:val="00787842"/>
    <w:rsid w:val="00797C83"/>
    <w:rsid w:val="007B369C"/>
    <w:rsid w:val="007C542B"/>
    <w:rsid w:val="007C577B"/>
    <w:rsid w:val="007C5CA2"/>
    <w:rsid w:val="007D438C"/>
    <w:rsid w:val="00854A20"/>
    <w:rsid w:val="008E5F5D"/>
    <w:rsid w:val="008F40E9"/>
    <w:rsid w:val="0091793D"/>
    <w:rsid w:val="009307BA"/>
    <w:rsid w:val="0098652B"/>
    <w:rsid w:val="00992651"/>
    <w:rsid w:val="009B3B7D"/>
    <w:rsid w:val="009B52DA"/>
    <w:rsid w:val="009C7C87"/>
    <w:rsid w:val="009E7C34"/>
    <w:rsid w:val="009F3C15"/>
    <w:rsid w:val="00A06DD5"/>
    <w:rsid w:val="00A24E6D"/>
    <w:rsid w:val="00A621A7"/>
    <w:rsid w:val="00A949C8"/>
    <w:rsid w:val="00AE19B6"/>
    <w:rsid w:val="00B0758C"/>
    <w:rsid w:val="00B164A7"/>
    <w:rsid w:val="00B244F0"/>
    <w:rsid w:val="00B45466"/>
    <w:rsid w:val="00B67E99"/>
    <w:rsid w:val="00B71B6F"/>
    <w:rsid w:val="00B77782"/>
    <w:rsid w:val="00B83975"/>
    <w:rsid w:val="00BB5680"/>
    <w:rsid w:val="00BF603E"/>
    <w:rsid w:val="00C1543F"/>
    <w:rsid w:val="00C2547B"/>
    <w:rsid w:val="00C306CF"/>
    <w:rsid w:val="00C416F7"/>
    <w:rsid w:val="00C427F7"/>
    <w:rsid w:val="00C509E8"/>
    <w:rsid w:val="00C90106"/>
    <w:rsid w:val="00CD14B7"/>
    <w:rsid w:val="00CE1658"/>
    <w:rsid w:val="00D1185A"/>
    <w:rsid w:val="00D212E2"/>
    <w:rsid w:val="00D55F1C"/>
    <w:rsid w:val="00D61E84"/>
    <w:rsid w:val="00DA3F7C"/>
    <w:rsid w:val="00DB646F"/>
    <w:rsid w:val="00DE55BC"/>
    <w:rsid w:val="00E01F10"/>
    <w:rsid w:val="00E13D64"/>
    <w:rsid w:val="00E56FAA"/>
    <w:rsid w:val="00EA4661"/>
    <w:rsid w:val="00EF2466"/>
    <w:rsid w:val="00F00190"/>
    <w:rsid w:val="00F01C22"/>
    <w:rsid w:val="00F10592"/>
    <w:rsid w:val="00F4076A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19BD"/>
  <w15:docId w15:val="{9B582237-F937-45CD-AAB7-F97FF2DB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359C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uiPriority w:val="9"/>
    <w:qFormat/>
    <w:rsid w:val="00675E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uiPriority w:val="9"/>
    <w:unhideWhenUsed/>
    <w:qFormat/>
    <w:rsid w:val="00675E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berschrift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675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uiPriority w:val="9"/>
    <w:qFormat/>
    <w:rsid w:val="00675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75E20"/>
    <w:rPr>
      <w:i/>
      <w:iCs/>
      <w:color w:val="808080" w:themeColor="text1" w:themeTint="7F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675E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E36027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Listenabsatz">
    <w:name w:val="List Paragraph"/>
    <w:basedOn w:val="Standard"/>
    <w:uiPriority w:val="34"/>
    <w:qFormat/>
    <w:rsid w:val="0059359C"/>
    <w:pPr>
      <w:ind w:left="720"/>
      <w:contextualSpacing/>
    </w:pPr>
  </w:style>
  <w:style w:type="paragraph" w:styleId="KeinLeerraum">
    <w:name w:val="No Spacing"/>
    <w:uiPriority w:val="1"/>
    <w:qFormat/>
    <w:rsid w:val="00675E20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75E2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E36027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Standard"/>
    <w:qFormat/>
  </w:style>
  <w:style w:type="paragraph" w:styleId="Titel">
    <w:name w:val="Title"/>
    <w:basedOn w:val="berschrift"/>
  </w:style>
  <w:style w:type="paragraph" w:customStyle="1" w:styleId="TabellenInhalt">
    <w:name w:val="Tabellen Inhalt"/>
    <w:basedOn w:val="Standard"/>
    <w:qFormat/>
  </w:style>
  <w:style w:type="paragraph" w:customStyle="1" w:styleId="Tabellenberschrift">
    <w:name w:val="Tabellen Überschrift"/>
    <w:basedOn w:val="TabellenInhalt"/>
    <w:qFormat/>
  </w:style>
  <w:style w:type="table" w:styleId="Tabellenraster">
    <w:name w:val="Table Grid"/>
    <w:basedOn w:val="NormaleTabelle"/>
    <w:uiPriority w:val="59"/>
    <w:rsid w:val="005935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D76C5"/>
    <w:pPr>
      <w:suppressAutoHyphens w:val="0"/>
      <w:spacing w:line="276" w:lineRule="auto"/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rsid w:val="005D76C5"/>
    <w:pPr>
      <w:spacing w:after="100"/>
      <w:ind w:left="240"/>
    </w:pPr>
  </w:style>
  <w:style w:type="paragraph" w:styleId="Verzeichnis1">
    <w:name w:val="toc 1"/>
    <w:basedOn w:val="Standard"/>
    <w:next w:val="Standard"/>
    <w:autoRedefine/>
    <w:uiPriority w:val="39"/>
    <w:unhideWhenUsed/>
    <w:rsid w:val="005D76C5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D76C5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5D76C5"/>
    <w:pPr>
      <w:suppressAutoHyphens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5D76C5"/>
    <w:pPr>
      <w:suppressAutoHyphens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5D76C5"/>
    <w:pPr>
      <w:suppressAutoHyphens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5D76C5"/>
    <w:pPr>
      <w:suppressAutoHyphens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5D76C5"/>
    <w:pPr>
      <w:suppressAutoHyphens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5D76C5"/>
    <w:pPr>
      <w:suppressAutoHyphens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5D76C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105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059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105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0592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2746-4837-422A-BAE0-2EAFCD4B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1232</Words>
  <Characters>7764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Kammergericht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Scherwaß, Anne</dc:creator>
  <cp:lastModifiedBy>Schmidt, Ruby</cp:lastModifiedBy>
  <cp:revision>18</cp:revision>
  <cp:lastPrinted>2021-07-01T16:02:00Z</cp:lastPrinted>
  <dcterms:created xsi:type="dcterms:W3CDTF">2022-02-03T15:31:00Z</dcterms:created>
  <dcterms:modified xsi:type="dcterms:W3CDTF">2024-01-30T13:32:00Z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Kammergericht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