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6D" w:rsidRDefault="00C80E6D" w:rsidP="00C80E6D">
      <w:r>
        <w:t>Wiederholungsfragen nach der 9 DS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4"/>
        </w:numPr>
      </w:pPr>
      <w:r>
        <w:t>Wie lange werden Grundbuchakten aufbewahrt?</w:t>
      </w:r>
    </w:p>
    <w:p w:rsidR="00C80E6D" w:rsidRDefault="00C80E6D" w:rsidP="00C80E6D">
      <w:pPr>
        <w:pStyle w:val="Listenabsatz"/>
      </w:pPr>
      <w:r w:rsidRPr="005C3069">
        <w:t>Grundbuchakten sind für immer aufzubewahren</w:t>
      </w:r>
    </w:p>
    <w:p w:rsidR="00C80E6D" w:rsidRDefault="00C80E6D" w:rsidP="00C80E6D"/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4"/>
        </w:numPr>
      </w:pPr>
      <w:r>
        <w:t>Was ist eine Ordnungsnummer?</w:t>
      </w:r>
    </w:p>
    <w:p w:rsidR="00C80E6D" w:rsidRDefault="00C80E6D" w:rsidP="00C80E6D">
      <w:pPr>
        <w:pStyle w:val="Listenabsatz"/>
      </w:pPr>
      <w:r w:rsidRPr="005C3069">
        <w:t>Es wird für jedes selbständige Schriftstück eine Ordnungsnummer vergeben (§</w:t>
      </w:r>
      <w:r>
        <w:t>31 (2)</w:t>
      </w:r>
      <w:r w:rsidRPr="005C3069">
        <w:t xml:space="preserve"> </w:t>
      </w:r>
      <w:proofErr w:type="spellStart"/>
      <w:r w:rsidRPr="005C3069">
        <w:t>AktO</w:t>
      </w:r>
      <w:proofErr w:type="spellEnd"/>
      <w:r w:rsidRPr="005C3069">
        <w:t>)</w:t>
      </w:r>
    </w:p>
    <w:p w:rsidR="00C80E6D" w:rsidRDefault="00C80E6D" w:rsidP="00C80E6D">
      <w:bookmarkStart w:id="0" w:name="_GoBack"/>
      <w:bookmarkEnd w:id="0"/>
    </w:p>
    <w:p w:rsidR="00C80E6D" w:rsidRDefault="00C80E6D" w:rsidP="00C80E6D">
      <w:pPr>
        <w:pStyle w:val="Listenabsatz"/>
        <w:numPr>
          <w:ilvl w:val="0"/>
          <w:numId w:val="4"/>
        </w:numPr>
      </w:pPr>
      <w:r>
        <w:t>Wann wird ein Antrag abgeheftet?</w:t>
      </w:r>
    </w:p>
    <w:p w:rsidR="00C80E6D" w:rsidRDefault="00C80E6D" w:rsidP="00C80E6D">
      <w:pPr>
        <w:pStyle w:val="Listenabsatz"/>
      </w:pPr>
      <w:r w:rsidRPr="005C3069">
        <w:t>Der Antrag darf erst abgeheftet werden, wenn er vollständig erledigt wurde. Es ist daher nur möglich, den ersten Antrag zu foliieren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 xml:space="preserve">Wo ist geregelt, welche Aufgaben der </w:t>
      </w:r>
      <w:proofErr w:type="spellStart"/>
      <w:r>
        <w:t>UdG</w:t>
      </w:r>
      <w:proofErr w:type="spellEnd"/>
      <w:r>
        <w:t xml:space="preserve"> hat?</w:t>
      </w:r>
    </w:p>
    <w:p w:rsidR="00C80E6D" w:rsidRDefault="00C80E6D" w:rsidP="00C80E6D">
      <w:pPr>
        <w:pStyle w:val="Listenabsatz"/>
      </w:pPr>
      <w:r>
        <w:t>§ 12 C GBO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 xml:space="preserve">Was muss der </w:t>
      </w:r>
      <w:proofErr w:type="spellStart"/>
      <w:r>
        <w:t>Einsichtnehmende</w:t>
      </w:r>
      <w:proofErr w:type="spellEnd"/>
      <w:r>
        <w:t xml:space="preserve"> darlegen?</w:t>
      </w:r>
    </w:p>
    <w:p w:rsidR="00C80E6D" w:rsidRDefault="00C80E6D" w:rsidP="00C80E6D">
      <w:pPr>
        <w:pStyle w:val="Listenabsatz"/>
      </w:pPr>
      <w:r>
        <w:t>Sein berechtigtes Interesse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>Wer muss kein berechtigtes Interesse darlegen und wo ist dies geregelt?</w:t>
      </w:r>
    </w:p>
    <w:p w:rsidR="00C80E6D" w:rsidRDefault="00C80E6D" w:rsidP="00C80E6D">
      <w:pPr>
        <w:pStyle w:val="Listenabsatz"/>
      </w:pPr>
      <w:r>
        <w:t>Gem. § 43 GBV</w:t>
      </w:r>
    </w:p>
    <w:p w:rsidR="00C80E6D" w:rsidRDefault="00C80E6D" w:rsidP="00C80E6D">
      <w:pPr>
        <w:pStyle w:val="Listenabsatz"/>
      </w:pPr>
      <w:r>
        <w:t>Notar, Vertreter inländischer Behörden, jeder mit einer Vollmacht eines Berechtigten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 xml:space="preserve">Was für Kosten kommen auf den </w:t>
      </w:r>
      <w:proofErr w:type="spellStart"/>
      <w:r>
        <w:t>Einsichtnehmenden</w:t>
      </w:r>
      <w:proofErr w:type="spellEnd"/>
      <w:r>
        <w:t xml:space="preserve"> zu, wenn er</w:t>
      </w:r>
    </w:p>
    <w:p w:rsidR="00C80E6D" w:rsidRDefault="00C80E6D" w:rsidP="00C80E6D">
      <w:pPr>
        <w:pStyle w:val="Listenabsatz"/>
        <w:numPr>
          <w:ilvl w:val="0"/>
          <w:numId w:val="2"/>
        </w:numPr>
      </w:pPr>
      <w:r>
        <w:t xml:space="preserve">In die Grundakte sehen will? </w:t>
      </w:r>
      <w:r>
        <w:tab/>
        <w:t>Gebührenfrei</w:t>
      </w:r>
    </w:p>
    <w:p w:rsidR="00C80E6D" w:rsidRDefault="00C80E6D" w:rsidP="00C80E6D">
      <w:pPr>
        <w:pStyle w:val="Listenabsatz"/>
        <w:numPr>
          <w:ilvl w:val="0"/>
          <w:numId w:val="2"/>
        </w:numPr>
      </w:pPr>
      <w:r>
        <w:t>Einen einfachen Grundbuchauszug beantragt?</w:t>
      </w:r>
      <w:r>
        <w:tab/>
        <w:t>10€</w:t>
      </w:r>
    </w:p>
    <w:p w:rsidR="00C80E6D" w:rsidRDefault="00C80E6D" w:rsidP="00C80E6D">
      <w:pPr>
        <w:pStyle w:val="Listenabsatz"/>
        <w:numPr>
          <w:ilvl w:val="0"/>
          <w:numId w:val="2"/>
        </w:numPr>
      </w:pPr>
      <w:r>
        <w:t>Einen beglaubigten Grundbuchauszug beantragt?</w:t>
      </w:r>
      <w:r>
        <w:tab/>
        <w:t>20€</w:t>
      </w:r>
    </w:p>
    <w:p w:rsidR="00C80E6D" w:rsidRDefault="00C80E6D" w:rsidP="00C80E6D">
      <w:pPr>
        <w:pStyle w:val="Listenabsatz"/>
        <w:numPr>
          <w:ilvl w:val="0"/>
          <w:numId w:val="2"/>
        </w:numPr>
      </w:pPr>
      <w:r>
        <w:t>69 Kopien beantragt?</w:t>
      </w:r>
      <w:r>
        <w:tab/>
        <w:t>27,85€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>Dürfen Grundakten versendet werden?</w:t>
      </w:r>
    </w:p>
    <w:p w:rsidR="00C80E6D" w:rsidRDefault="00C80E6D" w:rsidP="00C80E6D">
      <w:pPr>
        <w:pStyle w:val="Listenabsatz"/>
      </w:pPr>
      <w:r>
        <w:t>Nein, Grundakten sollen grundsätzlich nicht das Haus verlassen. Ausnahme: andere Gerichte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>Können Antragsteller ihre Urkunden zurückbekommen?</w:t>
      </w:r>
    </w:p>
    <w:p w:rsidR="00C80E6D" w:rsidRDefault="00C80E6D" w:rsidP="00C80E6D">
      <w:pPr>
        <w:pStyle w:val="Listenabsatz"/>
      </w:pPr>
      <w:r>
        <w:t>Ja, wenn die Urkunden Eintragungsgrundlage waren, werden für die Akten beglaubigte Kopien gefertigt, die Kosten der Kopien trägt der Antragsteller.</w:t>
      </w:r>
    </w:p>
    <w:p w:rsidR="00C80E6D" w:rsidRDefault="00C80E6D" w:rsidP="00C80E6D"/>
    <w:p w:rsidR="00C80E6D" w:rsidRDefault="00C80E6D" w:rsidP="00C80E6D">
      <w:pPr>
        <w:pStyle w:val="Listenabsatz"/>
        <w:numPr>
          <w:ilvl w:val="0"/>
          <w:numId w:val="1"/>
        </w:numPr>
      </w:pPr>
      <w:r>
        <w:t>Gewähren Sie in folgenden Fällen die Einsicht ins Grundbuch?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lastRenderedPageBreak/>
        <w:t>Eigentümer</w:t>
      </w:r>
      <w:r>
        <w:tab/>
      </w:r>
      <w:r>
        <w:tab/>
        <w:t>ja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t>Gläubiger</w:t>
      </w:r>
      <w:r>
        <w:tab/>
      </w:r>
      <w:r>
        <w:tab/>
        <w:t>ja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t>Nießbrauchberechtigten</w:t>
      </w:r>
      <w:r>
        <w:tab/>
        <w:t>ja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t>Mieter</w:t>
      </w:r>
      <w:r>
        <w:tab/>
        <w:t xml:space="preserve">ja, nach Vorlage des Mietvertrages 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t>Notar</w:t>
      </w:r>
      <w:r>
        <w:tab/>
        <w:t>Ja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t>Kaufinteressent</w:t>
      </w:r>
      <w:r>
        <w:tab/>
        <w:t>nein</w:t>
      </w:r>
    </w:p>
    <w:p w:rsidR="00C80E6D" w:rsidRDefault="00C80E6D" w:rsidP="00C80E6D">
      <w:pPr>
        <w:pStyle w:val="Listenabsatz"/>
        <w:numPr>
          <w:ilvl w:val="0"/>
          <w:numId w:val="3"/>
        </w:numPr>
      </w:pPr>
      <w:r>
        <w:t>Rechtsanwalt</w:t>
      </w:r>
      <w:r>
        <w:tab/>
        <w:t>nein, nur mit Vollmacht eines Notars oder eines Berechtigten</w:t>
      </w:r>
    </w:p>
    <w:p w:rsidR="0090670D" w:rsidRDefault="0090670D"/>
    <w:sectPr w:rsidR="009067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CBC"/>
    <w:multiLevelType w:val="hybridMultilevel"/>
    <w:tmpl w:val="CFE648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24A4"/>
    <w:multiLevelType w:val="hybridMultilevel"/>
    <w:tmpl w:val="0C80C9F6"/>
    <w:lvl w:ilvl="0" w:tplc="3BCEB5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6571ED"/>
    <w:multiLevelType w:val="hybridMultilevel"/>
    <w:tmpl w:val="9FDEA02A"/>
    <w:lvl w:ilvl="0" w:tplc="1F0C82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32C9D"/>
    <w:multiLevelType w:val="hybridMultilevel"/>
    <w:tmpl w:val="247060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6D"/>
    <w:rsid w:val="0090670D"/>
    <w:rsid w:val="00C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F172"/>
  <w15:chartTrackingRefBased/>
  <w15:docId w15:val="{F1332426-08E7-427E-B82C-0C69E3C8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E6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Simmerl-Hübner, Susanne</dc:creator>
  <cp:keywords/>
  <dc:description/>
  <cp:lastModifiedBy>Simmerl-Hübner, Susanne</cp:lastModifiedBy>
  <cp:revision>1</cp:revision>
  <dcterms:created xsi:type="dcterms:W3CDTF">2024-07-16T16:36:00Z</dcterms:created>
  <dcterms:modified xsi:type="dcterms:W3CDTF">2024-07-16T16:43:00Z</dcterms:modified>
</cp:coreProperties>
</file>