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B71" w:rsidRDefault="00A66B71" w:rsidP="00A66B71">
      <w:pPr>
        <w:pStyle w:val="berschrift2"/>
      </w:pPr>
      <w:r w:rsidRPr="00A66B71">
        <w:rPr>
          <w:rFonts w:ascii="Arial" w:hAnsi="Arial" w:cs="Arial"/>
          <w:sz w:val="24"/>
          <w:szCs w:val="24"/>
          <w:u w:val="single"/>
        </w:rPr>
        <w:t>Die</w:t>
      </w:r>
      <w:r w:rsidRPr="00A66B71">
        <w:rPr>
          <w:rStyle w:val="Hyperlink"/>
          <w:rFonts w:ascii="Arial" w:hAnsi="Arial" w:cs="Arial"/>
          <w:color w:val="auto"/>
          <w:sz w:val="24"/>
          <w:szCs w:val="24"/>
        </w:rPr>
        <w:t xml:space="preserve"> Zwangssicherungshypothek</w:t>
      </w:r>
      <w:r w:rsidRPr="00A66B71">
        <w:rPr>
          <w:rFonts w:ascii="Arial" w:hAnsi="Arial" w:cs="Arial"/>
          <w:sz w:val="24"/>
          <w:szCs w:val="24"/>
        </w:rPr>
        <w:t xml:space="preserve"> </w:t>
      </w:r>
      <w:r w:rsidRPr="00A66B71">
        <w:rPr>
          <w:rFonts w:ascii="Arial" w:hAnsi="Arial" w:cs="Arial"/>
          <w:b w:val="0"/>
          <w:sz w:val="24"/>
          <w:szCs w:val="24"/>
        </w:rPr>
        <w:t xml:space="preserve">ist ein dingliches Recht, welches zur Sicherung einer </w:t>
      </w:r>
      <w:hyperlink r:id="rId5" w:tooltip="Forderung" w:history="1">
        <w:r w:rsidRPr="00A66B71">
          <w:rPr>
            <w:rStyle w:val="StandardWeb"/>
            <w:rFonts w:ascii="Arial" w:hAnsi="Arial" w:cs="Arial"/>
            <w:b w:val="0"/>
            <w:sz w:val="24"/>
            <w:szCs w:val="24"/>
          </w:rPr>
          <w:t>Forderung</w:t>
        </w:r>
      </w:hyperlink>
      <w:r w:rsidRPr="00A66B71">
        <w:rPr>
          <w:rFonts w:ascii="Arial" w:hAnsi="Arial" w:cs="Arial"/>
          <w:b w:val="0"/>
          <w:sz w:val="24"/>
          <w:szCs w:val="24"/>
        </w:rPr>
        <w:t xml:space="preserve"> im Rahmen von Zwangsvollstreckungsmaßnahmen auf das Grundstück des Schuldners eingetragen wird. Die Zwangssicherungshypothek ist somit eine Form der dinglichen Sicherung, die Gläubigern ermöglicht, bei Nichterfüllung einer Forderung einen Zugriff auf das Grundvermögen des Schuldners zu erhalten. Dabei wird das Grundstück des Schuldners mit einer Hypothek belastet, die im Grundbuch eingetragen wird. Im Falle der Verwertung des Grundstücks haben die </w:t>
      </w:r>
      <w:hyperlink r:id="rId6" w:tooltip="Gläubiger" w:history="1">
        <w:r w:rsidRPr="00A66B71">
          <w:rPr>
            <w:rStyle w:val="StandardWeb"/>
            <w:rFonts w:ascii="Arial" w:hAnsi="Arial" w:cs="Arial"/>
            <w:b w:val="0"/>
            <w:sz w:val="24"/>
            <w:szCs w:val="24"/>
          </w:rPr>
          <w:t>Gläubiger</w:t>
        </w:r>
      </w:hyperlink>
      <w:r w:rsidRPr="00A66B71">
        <w:rPr>
          <w:rFonts w:ascii="Arial" w:hAnsi="Arial" w:cs="Arial"/>
          <w:b w:val="0"/>
          <w:sz w:val="24"/>
          <w:szCs w:val="24"/>
        </w:rPr>
        <w:t xml:space="preserve"> hierdurch einen bevorrechtigten </w:t>
      </w:r>
      <w:hyperlink r:id="rId7" w:tooltip="Anspruch" w:history="1">
        <w:r w:rsidRPr="00A66B71">
          <w:rPr>
            <w:rStyle w:val="StandardWeb"/>
            <w:rFonts w:ascii="Arial" w:hAnsi="Arial" w:cs="Arial"/>
            <w:b w:val="0"/>
            <w:sz w:val="24"/>
            <w:szCs w:val="24"/>
          </w:rPr>
          <w:t>Anspruch</w:t>
        </w:r>
      </w:hyperlink>
      <w:r w:rsidRPr="00A66B71">
        <w:rPr>
          <w:rFonts w:ascii="Arial" w:hAnsi="Arial" w:cs="Arial"/>
          <w:b w:val="0"/>
          <w:sz w:val="24"/>
          <w:szCs w:val="24"/>
        </w:rPr>
        <w:t xml:space="preserve"> auf Befriedigung aus dem Versteigerungserlös, entsprechend ihrer Rangordnung im Grundbuch.</w:t>
      </w:r>
      <w:r w:rsidRPr="00A66B71">
        <w:rPr>
          <w:b w:val="0"/>
          <w:bCs w:val="0"/>
          <w:kern w:val="36"/>
          <w:sz w:val="48"/>
          <w:szCs w:val="48"/>
        </w:rPr>
        <w:br/>
      </w:r>
      <w:r w:rsidRPr="00A66B71">
        <w:rPr>
          <w:b w:val="0"/>
          <w:bCs w:val="0"/>
          <w:kern w:val="36"/>
          <w:sz w:val="48"/>
          <w:szCs w:val="48"/>
        </w:rPr>
        <w:br/>
      </w:r>
      <w:r w:rsidRPr="00A66B71">
        <w:rPr>
          <w:rFonts w:ascii="Arial" w:hAnsi="Arial" w:cs="Arial"/>
          <w:sz w:val="24"/>
          <w:szCs w:val="24"/>
        </w:rPr>
        <w:t>Rechtsgrundlagen und Voraussetzungen für die Zwangssicherungshypothek</w:t>
      </w:r>
    </w:p>
    <w:p w:rsidR="00A66B71" w:rsidRPr="00A66B71" w:rsidRDefault="00A66B71" w:rsidP="00A66B71">
      <w:pPr>
        <w:pStyle w:val="StandardWeb"/>
        <w:rPr>
          <w:rFonts w:ascii="Arial" w:hAnsi="Arial" w:cs="Arial"/>
        </w:rPr>
      </w:pPr>
      <w:r w:rsidRPr="00A66B71">
        <w:rPr>
          <w:rFonts w:ascii="Arial" w:hAnsi="Arial" w:cs="Arial"/>
        </w:rPr>
        <w:t xml:space="preserve">Zur </w:t>
      </w:r>
      <w:hyperlink r:id="rId8" w:tooltip="Begründung" w:history="1">
        <w:r w:rsidRPr="00A66B71">
          <w:rPr>
            <w:rStyle w:val="Hyperlink"/>
            <w:rFonts w:ascii="Arial" w:hAnsi="Arial" w:cs="Arial"/>
            <w:color w:val="auto"/>
          </w:rPr>
          <w:t>Begründung</w:t>
        </w:r>
      </w:hyperlink>
      <w:r w:rsidRPr="00A66B71">
        <w:rPr>
          <w:rFonts w:ascii="Arial" w:hAnsi="Arial" w:cs="Arial"/>
        </w:rPr>
        <w:t xml:space="preserve"> einer Zwangssicherungshypothek bedarf es einer titulierten Forderung gegen den Schuldner sowie einer Vollstreckungsklausel. </w:t>
      </w:r>
      <w:bookmarkStart w:id="0" w:name="_GoBack"/>
      <w:bookmarkEnd w:id="0"/>
      <w:r w:rsidRPr="00A66B71">
        <w:rPr>
          <w:rFonts w:ascii="Arial" w:hAnsi="Arial" w:cs="Arial"/>
        </w:rPr>
        <w:t xml:space="preserve">Rechtsgrundlagen für die Zwangssicherungshypothek sind insbesondere die </w:t>
      </w:r>
      <w:r w:rsidRPr="00A66B71">
        <w:rPr>
          <w:rStyle w:val="Fett"/>
          <w:rFonts w:ascii="Arial" w:hAnsi="Arial" w:cs="Arial"/>
        </w:rPr>
        <w:t>§§ 867 ff. Zivilprozessordnung (</w:t>
      </w:r>
      <w:hyperlink r:id="rId9" w:tooltip="Zivilprozessordnung" w:history="1">
        <w:r w:rsidRPr="00A66B71">
          <w:rPr>
            <w:rStyle w:val="Hyperlink"/>
            <w:rFonts w:ascii="Arial" w:hAnsi="Arial" w:cs="Arial"/>
            <w:b/>
            <w:bCs/>
            <w:color w:val="auto"/>
          </w:rPr>
          <w:t>ZPO</w:t>
        </w:r>
      </w:hyperlink>
      <w:r w:rsidRPr="00A66B71">
        <w:rPr>
          <w:rStyle w:val="Fett"/>
          <w:rFonts w:ascii="Arial" w:hAnsi="Arial" w:cs="Arial"/>
        </w:rPr>
        <w:t>)</w:t>
      </w:r>
      <w:r w:rsidRPr="00A66B71">
        <w:rPr>
          <w:rFonts w:ascii="Arial" w:hAnsi="Arial" w:cs="Arial"/>
        </w:rPr>
        <w:t>. Weitere Voraussetzungen sind:</w:t>
      </w:r>
    </w:p>
    <w:p w:rsidR="00A66B71" w:rsidRPr="00A66B71" w:rsidRDefault="00A66B71" w:rsidP="00A66B71">
      <w:pPr>
        <w:numPr>
          <w:ilvl w:val="0"/>
          <w:numId w:val="2"/>
        </w:numPr>
        <w:spacing w:before="100" w:beforeAutospacing="1" w:after="100" w:afterAutospacing="1" w:line="240" w:lineRule="auto"/>
        <w:rPr>
          <w:rFonts w:ascii="Arial" w:hAnsi="Arial" w:cs="Arial"/>
          <w:sz w:val="24"/>
          <w:szCs w:val="24"/>
        </w:rPr>
      </w:pPr>
      <w:r w:rsidRPr="00A66B71">
        <w:rPr>
          <w:rStyle w:val="Fett"/>
          <w:rFonts w:ascii="Arial" w:hAnsi="Arial" w:cs="Arial"/>
          <w:sz w:val="24"/>
          <w:szCs w:val="24"/>
        </w:rPr>
        <w:t>Titel</w:t>
      </w:r>
      <w:r w:rsidRPr="00A66B71">
        <w:rPr>
          <w:rFonts w:ascii="Arial" w:hAnsi="Arial" w:cs="Arial"/>
          <w:sz w:val="24"/>
          <w:szCs w:val="24"/>
        </w:rPr>
        <w:t>: Es muss ein vollstreckbarer Titel vorliegen, z.B. ein Urteil, ein Vollstreckungsbescheid oder eine notarielle Urkunde.</w:t>
      </w:r>
    </w:p>
    <w:p w:rsidR="00A66B71" w:rsidRPr="00A66B71" w:rsidRDefault="00A66B71" w:rsidP="00A66B71">
      <w:pPr>
        <w:numPr>
          <w:ilvl w:val="0"/>
          <w:numId w:val="2"/>
        </w:numPr>
        <w:spacing w:before="100" w:beforeAutospacing="1" w:after="100" w:afterAutospacing="1" w:line="240" w:lineRule="auto"/>
        <w:rPr>
          <w:rFonts w:ascii="Arial" w:hAnsi="Arial" w:cs="Arial"/>
          <w:sz w:val="24"/>
          <w:szCs w:val="24"/>
        </w:rPr>
      </w:pPr>
      <w:r w:rsidRPr="00A66B71">
        <w:rPr>
          <w:rStyle w:val="Fett"/>
          <w:rFonts w:ascii="Arial" w:hAnsi="Arial" w:cs="Arial"/>
          <w:sz w:val="24"/>
          <w:szCs w:val="24"/>
        </w:rPr>
        <w:t>Vollstreckungsklausel</w:t>
      </w:r>
      <w:r w:rsidRPr="00A66B71">
        <w:rPr>
          <w:rFonts w:ascii="Arial" w:hAnsi="Arial" w:cs="Arial"/>
          <w:sz w:val="24"/>
          <w:szCs w:val="24"/>
        </w:rPr>
        <w:t xml:space="preserve">: Die Vollstreckungsklausel wird vom Gericht auf </w:t>
      </w:r>
      <w:hyperlink r:id="rId10" w:tooltip="Antrag" w:history="1">
        <w:r w:rsidRPr="00A66B71">
          <w:rPr>
            <w:rStyle w:val="Hyperlink"/>
            <w:rFonts w:ascii="Arial" w:hAnsi="Arial" w:cs="Arial"/>
            <w:color w:val="auto"/>
            <w:sz w:val="24"/>
            <w:szCs w:val="24"/>
          </w:rPr>
          <w:t>Antrag</w:t>
        </w:r>
      </w:hyperlink>
      <w:r w:rsidRPr="00A66B71">
        <w:rPr>
          <w:rFonts w:ascii="Arial" w:hAnsi="Arial" w:cs="Arial"/>
          <w:sz w:val="24"/>
          <w:szCs w:val="24"/>
        </w:rPr>
        <w:t xml:space="preserve"> des Gläubigers erteilt und damit der Titel vollstreckt.</w:t>
      </w:r>
    </w:p>
    <w:p w:rsidR="00A66B71" w:rsidRPr="00A66B71" w:rsidRDefault="00A66B71" w:rsidP="00A66B71">
      <w:pPr>
        <w:numPr>
          <w:ilvl w:val="0"/>
          <w:numId w:val="2"/>
        </w:numPr>
        <w:spacing w:before="100" w:beforeAutospacing="1" w:after="100" w:afterAutospacing="1" w:line="240" w:lineRule="auto"/>
        <w:rPr>
          <w:rFonts w:ascii="Arial" w:hAnsi="Arial" w:cs="Arial"/>
          <w:sz w:val="24"/>
          <w:szCs w:val="24"/>
        </w:rPr>
      </w:pPr>
      <w:r w:rsidRPr="00A66B71">
        <w:rPr>
          <w:rStyle w:val="Fett"/>
          <w:rFonts w:ascii="Arial" w:hAnsi="Arial" w:cs="Arial"/>
          <w:sz w:val="24"/>
          <w:szCs w:val="24"/>
        </w:rPr>
        <w:t>Zuständigkeit</w:t>
      </w:r>
      <w:r w:rsidRPr="00A66B71">
        <w:rPr>
          <w:rFonts w:ascii="Arial" w:hAnsi="Arial" w:cs="Arial"/>
          <w:sz w:val="24"/>
          <w:szCs w:val="24"/>
        </w:rPr>
        <w:t>: Zuständig für die Eintragung der Zwangssicherungshypothek ist das Grundbuchamt, in dessen Bezirk das Grundstück liegt.</w:t>
      </w:r>
    </w:p>
    <w:p w:rsidR="00A66B71" w:rsidRPr="00A66B71" w:rsidRDefault="00A66B71" w:rsidP="00A66B71">
      <w:pPr>
        <w:pStyle w:val="berschrift2"/>
        <w:rPr>
          <w:rFonts w:ascii="Arial" w:hAnsi="Arial" w:cs="Arial"/>
          <w:sz w:val="24"/>
          <w:szCs w:val="24"/>
        </w:rPr>
      </w:pPr>
      <w:r w:rsidRPr="00A66B71">
        <w:rPr>
          <w:rFonts w:ascii="Arial" w:hAnsi="Arial" w:cs="Arial"/>
          <w:sz w:val="24"/>
          <w:szCs w:val="24"/>
        </w:rPr>
        <w:t>Eintragung der Zwangssicherungshypothek im Grundbuch</w:t>
      </w:r>
    </w:p>
    <w:p w:rsidR="00A66B71" w:rsidRPr="00A66B71" w:rsidRDefault="00A66B71" w:rsidP="00A66B71">
      <w:pPr>
        <w:pStyle w:val="StandardWeb"/>
        <w:rPr>
          <w:rFonts w:ascii="Arial" w:hAnsi="Arial" w:cs="Arial"/>
        </w:rPr>
      </w:pPr>
      <w:r w:rsidRPr="00A66B71">
        <w:rPr>
          <w:rFonts w:ascii="Arial" w:hAnsi="Arial" w:cs="Arial"/>
        </w:rPr>
        <w:t xml:space="preserve">Die Eintragung der Zwangssicherungshypothek erfolgt auf Antrag des Gläubigers beim zuständigen Grundbuchamt. Das Grundbuchamt prüft die formalen Voraussetzungen und trägt die Zwangssicherungshypothek in </w:t>
      </w:r>
      <w:r w:rsidRPr="00A66B71">
        <w:rPr>
          <w:rStyle w:val="Fett"/>
          <w:rFonts w:ascii="Arial" w:hAnsi="Arial" w:cs="Arial"/>
        </w:rPr>
        <w:t>Abteilung III des Grundbuchs</w:t>
      </w:r>
      <w:r w:rsidRPr="00A66B71">
        <w:rPr>
          <w:rFonts w:ascii="Arial" w:hAnsi="Arial" w:cs="Arial"/>
        </w:rPr>
        <w:t xml:space="preserve"> ein. Die Eintragung erfolgt nachrangig zu bereits bestehenden Grundpfandrechten.</w:t>
      </w:r>
    </w:p>
    <w:p w:rsidR="00A66B71" w:rsidRPr="00A66B71" w:rsidRDefault="00A66B71" w:rsidP="00A66B71">
      <w:pPr>
        <w:pStyle w:val="berschrift3"/>
        <w:rPr>
          <w:rFonts w:ascii="Arial" w:hAnsi="Arial" w:cs="Arial"/>
          <w:color w:val="auto"/>
          <w:u w:val="single"/>
        </w:rPr>
      </w:pPr>
      <w:r w:rsidRPr="00A66B71">
        <w:rPr>
          <w:rFonts w:ascii="Arial" w:hAnsi="Arial" w:cs="Arial"/>
          <w:b/>
          <w:color w:val="auto"/>
          <w:u w:val="single"/>
        </w:rPr>
        <w:t>Wirkung der Eintragung</w:t>
      </w:r>
      <w:r>
        <w:rPr>
          <w:rFonts w:ascii="Arial" w:hAnsi="Arial" w:cs="Arial"/>
          <w:color w:val="auto"/>
          <w:u w:val="single"/>
        </w:rPr>
        <w:br/>
      </w:r>
      <w:r w:rsidRPr="00A66B71">
        <w:rPr>
          <w:rFonts w:ascii="Arial" w:hAnsi="Arial" w:cs="Arial"/>
          <w:color w:val="auto"/>
        </w:rPr>
        <w:t xml:space="preserve">Durch die Eintragung der Zwangssicherungshypothek erhält der Gläubiger ein dingliches Sicherungsrecht an dem Grundstück des Schuldners. Dieses Recht berechtigt den Gläubiger, bei einem etwaigen Zahlungsverzug des Schuldners die Zwangsversteigerung des Grundstücks zu betreiben. Im Falle der Zwangsversteigerung hat der Gläubiger einen </w:t>
      </w:r>
      <w:r w:rsidRPr="00A66B71">
        <w:rPr>
          <w:rStyle w:val="Fett"/>
          <w:rFonts w:ascii="Arial" w:hAnsi="Arial" w:cs="Arial"/>
          <w:color w:val="auto"/>
        </w:rPr>
        <w:t>Vorrang bei der Befriedigung aus dem Erlös</w:t>
      </w:r>
      <w:r w:rsidRPr="00A66B71">
        <w:rPr>
          <w:rFonts w:ascii="Arial" w:hAnsi="Arial" w:cs="Arial"/>
          <w:color w:val="auto"/>
        </w:rPr>
        <w:t>, soweit andere Gläubiger nicht höherrangige Rechte geltend machen können</w:t>
      </w:r>
      <w:r>
        <w:rPr>
          <w:rFonts w:ascii="Arial" w:hAnsi="Arial" w:cs="Arial"/>
          <w:color w:val="auto"/>
        </w:rPr>
        <w:t>.</w:t>
      </w:r>
    </w:p>
    <w:p w:rsidR="00E54A84" w:rsidRDefault="00E54A84" w:rsidP="00A66B71">
      <w:pPr>
        <w:spacing w:before="100" w:beforeAutospacing="1" w:after="100" w:afterAutospacing="1" w:line="240" w:lineRule="auto"/>
        <w:outlineLvl w:val="0"/>
      </w:pPr>
    </w:p>
    <w:sectPr w:rsidR="00E54A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E4105"/>
    <w:multiLevelType w:val="multilevel"/>
    <w:tmpl w:val="4B2C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A94100"/>
    <w:multiLevelType w:val="multilevel"/>
    <w:tmpl w:val="BF08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B71"/>
    <w:rsid w:val="00A66B71"/>
    <w:rsid w:val="00E54A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F4CFC"/>
  <w15:chartTrackingRefBased/>
  <w15:docId w15:val="{7621D6FD-9C0A-493A-B1A2-F0291FC4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A66B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A66B7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unhideWhenUsed/>
    <w:qFormat/>
    <w:rsid w:val="00A66B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6B71"/>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A66B71"/>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semiHidden/>
    <w:unhideWhenUsed/>
    <w:rsid w:val="00A66B71"/>
    <w:rPr>
      <w:color w:val="0000FF"/>
      <w:u w:val="single"/>
    </w:rPr>
  </w:style>
  <w:style w:type="character" w:styleId="Fett">
    <w:name w:val="Strong"/>
    <w:basedOn w:val="Absatz-Standardschriftart"/>
    <w:uiPriority w:val="22"/>
    <w:qFormat/>
    <w:rsid w:val="00A66B71"/>
    <w:rPr>
      <w:b/>
      <w:bCs/>
    </w:rPr>
  </w:style>
  <w:style w:type="character" w:customStyle="1" w:styleId="berschrift3Zchn">
    <w:name w:val="Überschrift 3 Zchn"/>
    <w:basedOn w:val="Absatz-Standardschriftart"/>
    <w:link w:val="berschrift3"/>
    <w:uiPriority w:val="9"/>
    <w:rsid w:val="00A66B71"/>
    <w:rPr>
      <w:rFonts w:asciiTheme="majorHAnsi" w:eastAsiaTheme="majorEastAsia" w:hAnsiTheme="majorHAnsi" w:cstheme="majorBidi"/>
      <w:color w:val="1F4D78" w:themeColor="accent1" w:themeShade="7F"/>
      <w:sz w:val="24"/>
      <w:szCs w:val="24"/>
    </w:rPr>
  </w:style>
  <w:style w:type="paragraph" w:styleId="StandardWeb">
    <w:name w:val="Normal (Web)"/>
    <w:basedOn w:val="Standard"/>
    <w:uiPriority w:val="99"/>
    <w:semiHidden/>
    <w:unhideWhenUsed/>
    <w:rsid w:val="00A66B71"/>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662008">
      <w:bodyDiv w:val="1"/>
      <w:marLeft w:val="0"/>
      <w:marRight w:val="0"/>
      <w:marTop w:val="0"/>
      <w:marBottom w:val="0"/>
      <w:divBdr>
        <w:top w:val="none" w:sz="0" w:space="0" w:color="auto"/>
        <w:left w:val="none" w:sz="0" w:space="0" w:color="auto"/>
        <w:bottom w:val="none" w:sz="0" w:space="0" w:color="auto"/>
        <w:right w:val="none" w:sz="0" w:space="0" w:color="auto"/>
      </w:divBdr>
      <w:divsChild>
        <w:div w:id="8408788">
          <w:marLeft w:val="0"/>
          <w:marRight w:val="0"/>
          <w:marTop w:val="0"/>
          <w:marBottom w:val="0"/>
          <w:divBdr>
            <w:top w:val="none" w:sz="0" w:space="0" w:color="auto"/>
            <w:left w:val="none" w:sz="0" w:space="0" w:color="auto"/>
            <w:bottom w:val="none" w:sz="0" w:space="0" w:color="auto"/>
            <w:right w:val="none" w:sz="0" w:space="0" w:color="auto"/>
          </w:divBdr>
        </w:div>
        <w:div w:id="388191257">
          <w:marLeft w:val="0"/>
          <w:marRight w:val="0"/>
          <w:marTop w:val="0"/>
          <w:marBottom w:val="0"/>
          <w:divBdr>
            <w:top w:val="none" w:sz="0" w:space="0" w:color="auto"/>
            <w:left w:val="none" w:sz="0" w:space="0" w:color="auto"/>
            <w:bottom w:val="none" w:sz="0" w:space="0" w:color="auto"/>
            <w:right w:val="none" w:sz="0" w:space="0" w:color="auto"/>
          </w:divBdr>
          <w:divsChild>
            <w:div w:id="2133353629">
              <w:marLeft w:val="0"/>
              <w:marRight w:val="0"/>
              <w:marTop w:val="0"/>
              <w:marBottom w:val="0"/>
              <w:divBdr>
                <w:top w:val="none" w:sz="0" w:space="0" w:color="auto"/>
                <w:left w:val="none" w:sz="0" w:space="0" w:color="auto"/>
                <w:bottom w:val="none" w:sz="0" w:space="0" w:color="auto"/>
                <w:right w:val="none" w:sz="0" w:space="0" w:color="auto"/>
              </w:divBdr>
            </w:div>
            <w:div w:id="1895041649">
              <w:marLeft w:val="0"/>
              <w:marRight w:val="0"/>
              <w:marTop w:val="0"/>
              <w:marBottom w:val="0"/>
              <w:divBdr>
                <w:top w:val="none" w:sz="0" w:space="0" w:color="auto"/>
                <w:left w:val="none" w:sz="0" w:space="0" w:color="auto"/>
                <w:bottom w:val="none" w:sz="0" w:space="0" w:color="auto"/>
                <w:right w:val="none" w:sz="0" w:space="0" w:color="auto"/>
              </w:divBdr>
            </w:div>
            <w:div w:id="718867308">
              <w:marLeft w:val="0"/>
              <w:marRight w:val="0"/>
              <w:marTop w:val="0"/>
              <w:marBottom w:val="0"/>
              <w:divBdr>
                <w:top w:val="none" w:sz="0" w:space="0" w:color="auto"/>
                <w:left w:val="none" w:sz="0" w:space="0" w:color="auto"/>
                <w:bottom w:val="none" w:sz="0" w:space="0" w:color="auto"/>
                <w:right w:val="none" w:sz="0" w:space="0" w:color="auto"/>
              </w:divBdr>
            </w:div>
            <w:div w:id="109336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9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raforum.de/lexikon/begruendung" TargetMode="External"/><Relationship Id="rId3" Type="http://schemas.openxmlformats.org/officeDocument/2006/relationships/settings" Target="settings.xml"/><Relationship Id="rId7" Type="http://schemas.openxmlformats.org/officeDocument/2006/relationships/hyperlink" Target="https://www.juraforum.de/lexikon/anspru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uraforum.de/lexikon/glaeubiger" TargetMode="External"/><Relationship Id="rId11" Type="http://schemas.openxmlformats.org/officeDocument/2006/relationships/fontTable" Target="fontTable.xml"/><Relationship Id="rId5" Type="http://schemas.openxmlformats.org/officeDocument/2006/relationships/hyperlink" Target="https://www.juraforum.de/lexikon/forderung" TargetMode="External"/><Relationship Id="rId10" Type="http://schemas.openxmlformats.org/officeDocument/2006/relationships/hyperlink" Target="https://www.juraforum.de/lexikon/antrag" TargetMode="External"/><Relationship Id="rId4" Type="http://schemas.openxmlformats.org/officeDocument/2006/relationships/webSettings" Target="webSettings.xml"/><Relationship Id="rId9" Type="http://schemas.openxmlformats.org/officeDocument/2006/relationships/hyperlink" Target="https://www.juraforum.de/gesetze/zpo/"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2345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Simmerl-Hübner, Susanne</dc:creator>
  <cp:keywords/>
  <dc:description/>
  <cp:lastModifiedBy>Simmerl-Hübner, Susanne</cp:lastModifiedBy>
  <cp:revision>1</cp:revision>
  <dcterms:created xsi:type="dcterms:W3CDTF">2024-08-06T10:20:00Z</dcterms:created>
  <dcterms:modified xsi:type="dcterms:W3CDTF">2024-08-06T10:28:00Z</dcterms:modified>
</cp:coreProperties>
</file>