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CBC74" w14:textId="62C0AED4" w:rsidR="005B15A2" w:rsidRDefault="001A4E15" w:rsidP="001A4E15">
      <w:pPr>
        <w:spacing w:line="360" w:lineRule="auto"/>
        <w:rPr>
          <w:rFonts w:ascii="Berlin Type Office" w:hAnsi="Berlin Type Office"/>
        </w:rPr>
      </w:pPr>
      <w:r>
        <w:rPr>
          <w:rFonts w:ascii="Berlin Type Office" w:hAnsi="Berlin Type Office"/>
        </w:rPr>
        <w:t>Lösungen zum Sachverhalt Max J.</w:t>
      </w:r>
    </w:p>
    <w:p w14:paraId="375EB2AB" w14:textId="24A16138" w:rsidR="001A4E15" w:rsidRPr="001A4E15" w:rsidRDefault="001A4E15" w:rsidP="001A4E15">
      <w:pPr>
        <w:pStyle w:val="Listenabsatz"/>
        <w:numPr>
          <w:ilvl w:val="0"/>
          <w:numId w:val="1"/>
        </w:numPr>
        <w:spacing w:line="360" w:lineRule="auto"/>
        <w:rPr>
          <w:rFonts w:ascii="Berlin Type Office" w:hAnsi="Berlin Type Office"/>
        </w:rPr>
      </w:pPr>
      <w:r>
        <w:rPr>
          <w:rFonts w:ascii="Berlin Type Office" w:hAnsi="Berlin Type Office"/>
          <w:color w:val="275317" w:themeColor="accent6" w:themeShade="80"/>
        </w:rPr>
        <w:t>Der objektive Tatbestand ist gem. § 226 Abs. 2 StGB gegeben. Der subjektive Tatbestand ist hier gem. § 15 StGB der Vorsatz. Es liegen keine Rechtfertigungsgründe oder Schuldausschließungsgründe vor. Demnach hat sich Max J. strafbar gemacht.</w:t>
      </w:r>
    </w:p>
    <w:p w14:paraId="21FD985F" w14:textId="5B991051" w:rsidR="001A4E15" w:rsidRPr="001A4E15" w:rsidRDefault="001A4E15" w:rsidP="001A4E15">
      <w:pPr>
        <w:pStyle w:val="Listenabsatz"/>
        <w:numPr>
          <w:ilvl w:val="1"/>
          <w:numId w:val="1"/>
        </w:numPr>
        <w:spacing w:line="360" w:lineRule="auto"/>
        <w:rPr>
          <w:rFonts w:ascii="Berlin Type Office" w:hAnsi="Berlin Type Office"/>
        </w:rPr>
      </w:pPr>
      <w:r>
        <w:rPr>
          <w:rFonts w:ascii="Berlin Type Office" w:hAnsi="Berlin Type Office"/>
          <w:color w:val="275317" w:themeColor="accent6" w:themeShade="80"/>
        </w:rPr>
        <w:t>Dies ist ein Verbrechen.</w:t>
      </w:r>
    </w:p>
    <w:p w14:paraId="5A5B04E8" w14:textId="4535C4B6" w:rsidR="001A4E15" w:rsidRPr="001A4E15" w:rsidRDefault="001A4E15" w:rsidP="001A4E15">
      <w:pPr>
        <w:pStyle w:val="Listenabsatz"/>
        <w:numPr>
          <w:ilvl w:val="0"/>
          <w:numId w:val="1"/>
        </w:numPr>
        <w:spacing w:line="360" w:lineRule="auto"/>
        <w:rPr>
          <w:rFonts w:ascii="Berlin Type Office" w:hAnsi="Berlin Type Office"/>
        </w:rPr>
      </w:pPr>
      <w:r>
        <w:rPr>
          <w:rFonts w:ascii="Berlin Type Office" w:hAnsi="Berlin Type Office"/>
          <w:color w:val="275317" w:themeColor="accent6" w:themeShade="80"/>
        </w:rPr>
        <w:t>Max J. ist hier Täter und sein Sohn Thomas J. ist der Gehilfe.</w:t>
      </w:r>
    </w:p>
    <w:p w14:paraId="2F9D8E75" w14:textId="5D36A982" w:rsidR="001A4E15" w:rsidRPr="001A4E15" w:rsidRDefault="001A4E15" w:rsidP="001A4E15">
      <w:pPr>
        <w:pStyle w:val="Listenabsatz"/>
        <w:numPr>
          <w:ilvl w:val="0"/>
          <w:numId w:val="1"/>
        </w:numPr>
        <w:spacing w:line="360" w:lineRule="auto"/>
        <w:rPr>
          <w:rFonts w:ascii="Berlin Type Office" w:hAnsi="Berlin Type Office"/>
        </w:rPr>
      </w:pPr>
      <w:r>
        <w:rPr>
          <w:rFonts w:ascii="Berlin Type Office" w:hAnsi="Berlin Type Office"/>
          <w:color w:val="275317" w:themeColor="accent6" w:themeShade="80"/>
        </w:rPr>
        <w:t>Für einen Untersuchungshaftbefehl müssen der dringende Tatverdacht, ein Haftgrund sowie die Verhältnismäßigkeit vorliegen.</w:t>
      </w:r>
    </w:p>
    <w:p w14:paraId="68ADDB36" w14:textId="4DF85BF9" w:rsidR="001A4E15" w:rsidRPr="001A4E15" w:rsidRDefault="001A4E15" w:rsidP="001A4E15">
      <w:pPr>
        <w:pStyle w:val="Listenabsatz"/>
        <w:numPr>
          <w:ilvl w:val="1"/>
          <w:numId w:val="1"/>
        </w:numPr>
        <w:spacing w:line="360" w:lineRule="auto"/>
        <w:rPr>
          <w:rFonts w:ascii="Berlin Type Office" w:hAnsi="Berlin Type Office"/>
        </w:rPr>
      </w:pPr>
      <w:r>
        <w:rPr>
          <w:rFonts w:ascii="Berlin Type Office" w:hAnsi="Berlin Type Office"/>
          <w:color w:val="275317" w:themeColor="accent6" w:themeShade="80"/>
        </w:rPr>
        <w:t>Haftprüfung und Haftbeschwerde</w:t>
      </w:r>
    </w:p>
    <w:p w14:paraId="6700E72D" w14:textId="73CEF10C" w:rsidR="001A4E15" w:rsidRPr="001A4E15" w:rsidRDefault="001A4E15" w:rsidP="001A4E15">
      <w:pPr>
        <w:pStyle w:val="Listenabsatz"/>
        <w:numPr>
          <w:ilvl w:val="0"/>
          <w:numId w:val="1"/>
        </w:numPr>
        <w:spacing w:line="360" w:lineRule="auto"/>
        <w:rPr>
          <w:rFonts w:ascii="Berlin Type Office" w:hAnsi="Berlin Type Office"/>
        </w:rPr>
      </w:pPr>
      <w:r>
        <w:rPr>
          <w:rFonts w:ascii="Berlin Type Office" w:hAnsi="Berlin Type Office"/>
          <w:color w:val="275317" w:themeColor="accent6" w:themeShade="80"/>
        </w:rPr>
        <w:t>Die Ermittlungsbehörde muss noch die Einziehung des Wertes des Erlangten in Höhe von 100 Euro beantragen.</w:t>
      </w:r>
    </w:p>
    <w:p w14:paraId="24838E76" w14:textId="4C414640" w:rsidR="001A4E15" w:rsidRPr="001A4E15" w:rsidRDefault="001A4E15" w:rsidP="001A4E15">
      <w:pPr>
        <w:pStyle w:val="Listenabsatz"/>
        <w:numPr>
          <w:ilvl w:val="0"/>
          <w:numId w:val="1"/>
        </w:numPr>
        <w:spacing w:line="360" w:lineRule="auto"/>
        <w:rPr>
          <w:rFonts w:ascii="Berlin Type Office" w:hAnsi="Berlin Type Office"/>
        </w:rPr>
      </w:pPr>
      <w:r>
        <w:rPr>
          <w:rFonts w:ascii="Berlin Type Office" w:hAnsi="Berlin Type Office"/>
          <w:color w:val="275317" w:themeColor="accent6" w:themeShade="80"/>
        </w:rPr>
        <w:t>Die große Strafkammer ist beim Landgericht gem. § 74 Abs. 1 GVG zuständig, wenn nicht das Amtsgericht oder Oberlandesgericht zuständig ist, eine Freiheitsstrafe im Einzelnen von mehr als vier Jahren zu erwarten ist. Der Jugendrichter wäre für das vereinfachte Jugendverfahren zuständig gem. § 76 JGG. Der Jugendrichter generell entscheidet bei Erziehungsmaßregeln, Zuchtmitteln oder bei Jugendstrafen bis zu einem Jahr (§ 39 JGG)</w:t>
      </w:r>
    </w:p>
    <w:p w14:paraId="10F6C683" w14:textId="57041AFE" w:rsidR="001A4E15" w:rsidRPr="00C65516" w:rsidRDefault="001A4E15" w:rsidP="001A4E15">
      <w:pPr>
        <w:pStyle w:val="Listenabsatz"/>
        <w:numPr>
          <w:ilvl w:val="0"/>
          <w:numId w:val="1"/>
        </w:numPr>
        <w:spacing w:line="360" w:lineRule="auto"/>
        <w:rPr>
          <w:rFonts w:ascii="Berlin Type Office" w:hAnsi="Berlin Type Office"/>
        </w:rPr>
      </w:pPr>
      <w:r>
        <w:rPr>
          <w:rFonts w:ascii="Berlin Type Office" w:hAnsi="Berlin Type Office"/>
          <w:color w:val="275317" w:themeColor="accent6" w:themeShade="80"/>
        </w:rPr>
        <w:t xml:space="preserve">Die große Strafkammer ist in diesem Fall nach § 76 Abs. </w:t>
      </w:r>
      <w:r w:rsidR="00C65516">
        <w:rPr>
          <w:rFonts w:ascii="Berlin Type Office" w:hAnsi="Berlin Type Office"/>
          <w:color w:val="275317" w:themeColor="accent6" w:themeShade="80"/>
        </w:rPr>
        <w:t>2</w:t>
      </w:r>
      <w:r>
        <w:rPr>
          <w:rFonts w:ascii="Berlin Type Office" w:hAnsi="Berlin Type Office"/>
          <w:color w:val="275317" w:themeColor="accent6" w:themeShade="80"/>
        </w:rPr>
        <w:t xml:space="preserve"> S. 4 GVG mit zwei Richtern und zwei Schöffen besetzt.</w:t>
      </w:r>
    </w:p>
    <w:p w14:paraId="4D123B0C" w14:textId="7FF40BB5" w:rsidR="00C65516" w:rsidRPr="00C65516" w:rsidRDefault="00C65516" w:rsidP="001A4E15">
      <w:pPr>
        <w:pStyle w:val="Listenabsatz"/>
        <w:numPr>
          <w:ilvl w:val="0"/>
          <w:numId w:val="1"/>
        </w:numPr>
        <w:spacing w:line="360" w:lineRule="auto"/>
        <w:rPr>
          <w:rFonts w:ascii="Berlin Type Office" w:hAnsi="Berlin Type Office"/>
        </w:rPr>
      </w:pPr>
      <w:r>
        <w:rPr>
          <w:rFonts w:ascii="Berlin Type Office" w:hAnsi="Berlin Type Office"/>
          <w:color w:val="275317" w:themeColor="accent6" w:themeShade="80"/>
        </w:rPr>
        <w:t xml:space="preserve">Präsentieren und Zuständigkeit prüfen </w:t>
      </w:r>
      <w:r w:rsidRPr="00C65516">
        <w:rPr>
          <w:rFonts w:ascii="Berlin Type Office" w:hAnsi="Berlin Type Office"/>
          <w:color w:val="275317" w:themeColor="accent6" w:themeShade="80"/>
        </w:rPr>
        <w:sym w:font="Wingdings" w:char="F0E0"/>
      </w:r>
      <w:r>
        <w:rPr>
          <w:rFonts w:ascii="Berlin Type Office" w:hAnsi="Berlin Type Office"/>
          <w:color w:val="275317" w:themeColor="accent6" w:themeShade="80"/>
        </w:rPr>
        <w:t xml:space="preserve"> Richtervorlage</w:t>
      </w:r>
    </w:p>
    <w:p w14:paraId="42F28795" w14:textId="15BDC5A7" w:rsidR="00C65516" w:rsidRPr="00C65516" w:rsidRDefault="00C65516" w:rsidP="001A4E15">
      <w:pPr>
        <w:pStyle w:val="Listenabsatz"/>
        <w:numPr>
          <w:ilvl w:val="0"/>
          <w:numId w:val="1"/>
        </w:numPr>
        <w:spacing w:line="360" w:lineRule="auto"/>
        <w:rPr>
          <w:rFonts w:ascii="Berlin Type Office" w:hAnsi="Berlin Type Office"/>
        </w:rPr>
      </w:pPr>
      <w:r>
        <w:rPr>
          <w:rFonts w:ascii="Berlin Type Office" w:hAnsi="Berlin Type Office"/>
          <w:color w:val="275317" w:themeColor="accent6" w:themeShade="80"/>
        </w:rPr>
        <w:t>Anklagezustellung an den Angeschuldigten wegen dem rechtlichen Gehör.</w:t>
      </w:r>
    </w:p>
    <w:p w14:paraId="383B42F8" w14:textId="15C9698B" w:rsidR="00C65516" w:rsidRPr="00C65516" w:rsidRDefault="00C65516" w:rsidP="001A4E15">
      <w:pPr>
        <w:pStyle w:val="Listenabsatz"/>
        <w:numPr>
          <w:ilvl w:val="0"/>
          <w:numId w:val="1"/>
        </w:numPr>
        <w:spacing w:line="360" w:lineRule="auto"/>
        <w:rPr>
          <w:rFonts w:ascii="Berlin Type Office" w:hAnsi="Berlin Type Office"/>
        </w:rPr>
      </w:pPr>
      <w:r>
        <w:rPr>
          <w:rFonts w:ascii="Berlin Type Office" w:hAnsi="Berlin Type Office"/>
          <w:color w:val="275317" w:themeColor="accent6" w:themeShade="80"/>
        </w:rPr>
        <w:t>Das Hauptverfahren wird gem. § 203 StPO eröffnet.</w:t>
      </w:r>
    </w:p>
    <w:p w14:paraId="1568DA41" w14:textId="52D90F7F" w:rsidR="00C65516" w:rsidRPr="00C65516" w:rsidRDefault="00C65516" w:rsidP="001A4E15">
      <w:pPr>
        <w:pStyle w:val="Listenabsatz"/>
        <w:numPr>
          <w:ilvl w:val="0"/>
          <w:numId w:val="1"/>
        </w:numPr>
        <w:spacing w:line="360" w:lineRule="auto"/>
        <w:rPr>
          <w:rFonts w:ascii="Berlin Type Office" w:hAnsi="Berlin Type Office"/>
        </w:rPr>
      </w:pPr>
      <w:r>
        <w:rPr>
          <w:rFonts w:ascii="Berlin Type Office" w:hAnsi="Berlin Type Office"/>
          <w:color w:val="275317" w:themeColor="accent6" w:themeShade="80"/>
        </w:rPr>
        <w:t>Am 04.03.2026 muss die Ladung zugestellt werden.</w:t>
      </w:r>
    </w:p>
    <w:p w14:paraId="311F704D" w14:textId="3B1FB510" w:rsidR="00C65516" w:rsidRPr="00C65516" w:rsidRDefault="00C65516" w:rsidP="001A4E15">
      <w:pPr>
        <w:pStyle w:val="Listenabsatz"/>
        <w:numPr>
          <w:ilvl w:val="0"/>
          <w:numId w:val="1"/>
        </w:numPr>
        <w:spacing w:line="360" w:lineRule="auto"/>
        <w:rPr>
          <w:rFonts w:ascii="Berlin Type Office" w:hAnsi="Berlin Type Office"/>
        </w:rPr>
      </w:pPr>
      <w:r>
        <w:rPr>
          <w:rFonts w:ascii="Berlin Type Office" w:hAnsi="Berlin Type Office"/>
          <w:color w:val="275317" w:themeColor="accent6" w:themeShade="80"/>
        </w:rPr>
        <w:t>Die Kammer muss ihre Besetzung nach § 222a StPO mitteilen.</w:t>
      </w:r>
    </w:p>
    <w:p w14:paraId="1131281F" w14:textId="7475611A" w:rsidR="00C65516" w:rsidRPr="00C65516" w:rsidRDefault="00C65516" w:rsidP="00C65516">
      <w:pPr>
        <w:pStyle w:val="Listenabsatz"/>
        <w:numPr>
          <w:ilvl w:val="1"/>
          <w:numId w:val="1"/>
        </w:numPr>
        <w:spacing w:line="360" w:lineRule="auto"/>
        <w:rPr>
          <w:rFonts w:ascii="Berlin Type Office" w:hAnsi="Berlin Type Office"/>
        </w:rPr>
      </w:pPr>
      <w:r>
        <w:rPr>
          <w:rFonts w:ascii="Berlin Type Office" w:hAnsi="Berlin Type Office"/>
          <w:color w:val="275317" w:themeColor="accent6" w:themeShade="80"/>
        </w:rPr>
        <w:t>Max J. kann in diesem Fall die sofortige Aussetzung der Verhandlung beantragen.</w:t>
      </w:r>
    </w:p>
    <w:p w14:paraId="679D4830" w14:textId="69B5664C" w:rsidR="00C65516" w:rsidRPr="00C65516" w:rsidRDefault="00C65516" w:rsidP="00C65516">
      <w:pPr>
        <w:pStyle w:val="Listenabsatz"/>
        <w:numPr>
          <w:ilvl w:val="0"/>
          <w:numId w:val="1"/>
        </w:numPr>
        <w:spacing w:line="360" w:lineRule="auto"/>
        <w:rPr>
          <w:rFonts w:ascii="Berlin Type Office" w:hAnsi="Berlin Type Office"/>
        </w:rPr>
      </w:pPr>
      <w:r>
        <w:rPr>
          <w:rFonts w:ascii="Berlin Type Office" w:hAnsi="Berlin Type Office"/>
          <w:color w:val="275317" w:themeColor="accent6" w:themeShade="80"/>
        </w:rPr>
        <w:t>Es ergeht die Aussetzung.</w:t>
      </w:r>
    </w:p>
    <w:p w14:paraId="127E8366" w14:textId="213DEBCE" w:rsidR="00C65516" w:rsidRPr="00C65516" w:rsidRDefault="00C65516" w:rsidP="00C65516">
      <w:pPr>
        <w:pStyle w:val="Listenabsatz"/>
        <w:numPr>
          <w:ilvl w:val="0"/>
          <w:numId w:val="1"/>
        </w:numPr>
        <w:spacing w:line="360" w:lineRule="auto"/>
        <w:rPr>
          <w:rFonts w:ascii="Berlin Type Office" w:hAnsi="Berlin Type Office"/>
        </w:rPr>
      </w:pPr>
      <w:r>
        <w:rPr>
          <w:rFonts w:ascii="Berlin Type Office" w:hAnsi="Berlin Type Office"/>
          <w:color w:val="275317" w:themeColor="accent6" w:themeShade="80"/>
        </w:rPr>
        <w:t>Die Kammer kann nach dem Nichterscheinen von Max J. einen Haftbefehl nach Antrag erlassen. Alternativ kann Max J. auch polizeilich vorgeführt werden. (§ 230 Abs. 2 StPO)</w:t>
      </w:r>
    </w:p>
    <w:p w14:paraId="191F5FEF" w14:textId="10341EE3" w:rsidR="00C65516" w:rsidRPr="00C65516" w:rsidRDefault="00C65516" w:rsidP="00C65516">
      <w:pPr>
        <w:pStyle w:val="Listenabsatz"/>
        <w:numPr>
          <w:ilvl w:val="1"/>
          <w:numId w:val="1"/>
        </w:numPr>
        <w:spacing w:line="360" w:lineRule="auto"/>
        <w:rPr>
          <w:rFonts w:ascii="Berlin Type Office" w:hAnsi="Berlin Type Office"/>
        </w:rPr>
      </w:pPr>
      <w:r>
        <w:rPr>
          <w:rFonts w:ascii="Berlin Type Office" w:hAnsi="Berlin Type Office"/>
          <w:color w:val="275317" w:themeColor="accent6" w:themeShade="80"/>
        </w:rPr>
        <w:t xml:space="preserve">§ 226 Abs. 2 </w:t>
      </w:r>
      <w:proofErr w:type="spellStart"/>
      <w:r>
        <w:rPr>
          <w:rFonts w:ascii="Berlin Type Office" w:hAnsi="Berlin Type Office"/>
          <w:color w:val="275317" w:themeColor="accent6" w:themeShade="80"/>
        </w:rPr>
        <w:t>iVm</w:t>
      </w:r>
      <w:proofErr w:type="spellEnd"/>
      <w:r>
        <w:rPr>
          <w:rFonts w:ascii="Berlin Type Office" w:hAnsi="Berlin Type Office"/>
          <w:color w:val="275317" w:themeColor="accent6" w:themeShade="80"/>
        </w:rPr>
        <w:t xml:space="preserve"> § 38 Abs. 2 </w:t>
      </w:r>
      <w:proofErr w:type="spellStart"/>
      <w:r>
        <w:rPr>
          <w:rFonts w:ascii="Berlin Type Office" w:hAnsi="Berlin Type Office"/>
          <w:color w:val="275317" w:themeColor="accent6" w:themeShade="80"/>
        </w:rPr>
        <w:t>iVm</w:t>
      </w:r>
      <w:proofErr w:type="spellEnd"/>
      <w:r>
        <w:rPr>
          <w:rFonts w:ascii="Berlin Type Office" w:hAnsi="Berlin Type Office"/>
          <w:color w:val="275317" w:themeColor="accent6" w:themeShade="80"/>
        </w:rPr>
        <w:t xml:space="preserve"> § 78 Abs. 3 Nr. 2 </w:t>
      </w:r>
      <w:proofErr w:type="spellStart"/>
      <w:r>
        <w:rPr>
          <w:rFonts w:ascii="Berlin Type Office" w:hAnsi="Berlin Type Office"/>
          <w:color w:val="275317" w:themeColor="accent6" w:themeShade="80"/>
        </w:rPr>
        <w:t>iVm</w:t>
      </w:r>
      <w:proofErr w:type="spellEnd"/>
      <w:r>
        <w:rPr>
          <w:rFonts w:ascii="Berlin Type Office" w:hAnsi="Berlin Type Office"/>
          <w:color w:val="275317" w:themeColor="accent6" w:themeShade="80"/>
        </w:rPr>
        <w:t xml:space="preserve"> § 78c Abs. 3 S. 2 StGB muss Max J. vierzig Jahre untertauchen um nicht mehr verfolgt werden zu können.</w:t>
      </w:r>
    </w:p>
    <w:p w14:paraId="7E2306B4" w14:textId="669C8B38" w:rsidR="00C65516" w:rsidRPr="00C65516" w:rsidRDefault="00C65516" w:rsidP="00C65516">
      <w:pPr>
        <w:pStyle w:val="Listenabsatz"/>
        <w:numPr>
          <w:ilvl w:val="0"/>
          <w:numId w:val="1"/>
        </w:numPr>
        <w:spacing w:line="360" w:lineRule="auto"/>
        <w:rPr>
          <w:rFonts w:ascii="Berlin Type Office" w:hAnsi="Berlin Type Office"/>
        </w:rPr>
      </w:pPr>
      <w:r>
        <w:rPr>
          <w:rFonts w:ascii="Berlin Type Office" w:hAnsi="Berlin Type Office"/>
          <w:color w:val="275317" w:themeColor="accent6" w:themeShade="80"/>
        </w:rPr>
        <w:t>Max J., Sebastian N. und die Staatsanwaltschaft können Revision binnen einer Frist von einer Woche nach Verkündung einlegen.</w:t>
      </w:r>
    </w:p>
    <w:p w14:paraId="74E01F34" w14:textId="4C3DF852" w:rsidR="00C65516" w:rsidRPr="00C65516" w:rsidRDefault="00C65516" w:rsidP="00C65516">
      <w:pPr>
        <w:pStyle w:val="Listenabsatz"/>
        <w:numPr>
          <w:ilvl w:val="0"/>
          <w:numId w:val="1"/>
        </w:numPr>
        <w:spacing w:line="360" w:lineRule="auto"/>
        <w:rPr>
          <w:rFonts w:ascii="Berlin Type Office" w:hAnsi="Berlin Type Office"/>
        </w:rPr>
      </w:pPr>
      <w:r>
        <w:rPr>
          <w:rFonts w:ascii="Berlin Type Office" w:hAnsi="Berlin Type Office"/>
          <w:color w:val="275317" w:themeColor="accent6" w:themeShade="80"/>
        </w:rPr>
        <w:lastRenderedPageBreak/>
        <w:t>Sebastian N. konnte Nebenkläger werden, da dieser durch eine rechtswidrige Tat verletzt wurde. Die Zulassungsvoraussetzung steht in § 395 Abs. 1 Nr. 3 StPO.</w:t>
      </w:r>
    </w:p>
    <w:p w14:paraId="529A4846" w14:textId="7BBDCF24" w:rsidR="00C65516" w:rsidRPr="00C65516" w:rsidRDefault="00C65516" w:rsidP="00C65516">
      <w:pPr>
        <w:pStyle w:val="Listenabsatz"/>
        <w:numPr>
          <w:ilvl w:val="0"/>
          <w:numId w:val="1"/>
        </w:numPr>
        <w:spacing w:line="360" w:lineRule="auto"/>
        <w:rPr>
          <w:rFonts w:ascii="Berlin Type Office" w:hAnsi="Berlin Type Office"/>
        </w:rPr>
      </w:pPr>
      <w:r>
        <w:rPr>
          <w:rFonts w:ascii="Berlin Type Office" w:hAnsi="Berlin Type Office"/>
          <w:color w:val="275317" w:themeColor="accent6" w:themeShade="80"/>
        </w:rPr>
        <w:t>Die Verwarnung ist ein Zuchtmittel.</w:t>
      </w:r>
    </w:p>
    <w:p w14:paraId="6898BD24" w14:textId="12516266" w:rsidR="00C65516" w:rsidRPr="00C65516" w:rsidRDefault="00C65516" w:rsidP="00C65516">
      <w:pPr>
        <w:pStyle w:val="Listenabsatz"/>
        <w:numPr>
          <w:ilvl w:val="0"/>
          <w:numId w:val="1"/>
        </w:numPr>
        <w:spacing w:line="360" w:lineRule="auto"/>
        <w:rPr>
          <w:rFonts w:ascii="Berlin Type Office" w:hAnsi="Berlin Type Office"/>
        </w:rPr>
      </w:pPr>
      <w:r w:rsidRPr="00C65516">
        <w:rPr>
          <w:rFonts w:ascii="Berlin Type Office" w:hAnsi="Berlin Type Office"/>
          <w:color w:val="275317" w:themeColor="accent6" w:themeShade="80"/>
        </w:rPr>
        <w:t xml:space="preserve">Max J. hat prinzipiell das Beschwerderecht nach § 108 StVollzG. </w:t>
      </w:r>
    </w:p>
    <w:p w14:paraId="1A09FF06" w14:textId="5FEA404C" w:rsidR="00C65516" w:rsidRPr="000064BA" w:rsidRDefault="00C65516" w:rsidP="00C65516">
      <w:pPr>
        <w:pStyle w:val="Listenabsatz"/>
        <w:numPr>
          <w:ilvl w:val="1"/>
          <w:numId w:val="1"/>
        </w:numPr>
        <w:spacing w:line="360" w:lineRule="auto"/>
        <w:rPr>
          <w:rFonts w:ascii="Berlin Type Office" w:hAnsi="Berlin Type Office"/>
        </w:rPr>
      </w:pPr>
      <w:r>
        <w:rPr>
          <w:rFonts w:ascii="Berlin Type Office" w:hAnsi="Berlin Type Office"/>
          <w:color w:val="275317" w:themeColor="accent6" w:themeShade="80"/>
        </w:rPr>
        <w:t xml:space="preserve">Max J. kann nach § 109 StVollzG Antrag auf gerichtliche Entscheidung beantragen. Die Strafvollstreckungskammer entscheidet darüber. Gegen diese Entscheidung kann Max J. dann Rechtsbeschwerde gem. § 116 StVollzG einlegen, binnen einer Frist von einem Monat </w:t>
      </w:r>
      <w:r w:rsidR="000064BA">
        <w:rPr>
          <w:rFonts w:ascii="Berlin Type Office" w:hAnsi="Berlin Type Office"/>
          <w:color w:val="275317" w:themeColor="accent6" w:themeShade="80"/>
        </w:rPr>
        <w:t>nach Zustellung (§ 118 Abs. 1 S. 1 StVollzG)</w:t>
      </w:r>
    </w:p>
    <w:p w14:paraId="10DAE044" w14:textId="0AAFEBD2" w:rsidR="000064BA" w:rsidRPr="000064BA" w:rsidRDefault="000064BA" w:rsidP="000064BA">
      <w:pPr>
        <w:pStyle w:val="Listenabsatz"/>
        <w:numPr>
          <w:ilvl w:val="0"/>
          <w:numId w:val="1"/>
        </w:numPr>
        <w:spacing w:line="360" w:lineRule="auto"/>
        <w:rPr>
          <w:rFonts w:ascii="Berlin Type Office" w:hAnsi="Berlin Type Office"/>
        </w:rPr>
      </w:pPr>
      <w:r>
        <w:rPr>
          <w:rFonts w:ascii="Berlin Type Office" w:hAnsi="Berlin Type Office"/>
          <w:color w:val="275317" w:themeColor="accent6" w:themeShade="80"/>
        </w:rPr>
        <w:t>Nach § 57 Abs. 1 StGB sind die Voraussetzungen für die 2/3 Strafe: 2/3, mindestens zwei Monate wurden verbüßt, das Sicherheitsinteresse sprich nicht dagegen und die Einwilligung des Verurteilten.</w:t>
      </w:r>
    </w:p>
    <w:p w14:paraId="2452BA90" w14:textId="5DD332A2" w:rsidR="000064BA" w:rsidRPr="001A4E15" w:rsidRDefault="000064BA" w:rsidP="000064BA">
      <w:pPr>
        <w:pStyle w:val="Listenabsatz"/>
        <w:numPr>
          <w:ilvl w:val="1"/>
          <w:numId w:val="1"/>
        </w:numPr>
        <w:spacing w:line="360" w:lineRule="auto"/>
        <w:rPr>
          <w:rFonts w:ascii="Berlin Type Office" w:hAnsi="Berlin Type Office"/>
        </w:rPr>
      </w:pPr>
      <w:r>
        <w:rPr>
          <w:rFonts w:ascii="Berlin Type Office" w:hAnsi="Berlin Type Office"/>
          <w:color w:val="275317" w:themeColor="accent6" w:themeShade="80"/>
        </w:rPr>
        <w:t>Die Strafvollstreckungskammer ist zuständig. Dort entscheidet der Einzelrichter nach § 78b Abs. 1 Nr. 2 GVG.</w:t>
      </w:r>
    </w:p>
    <w:sectPr w:rsidR="000064BA" w:rsidRPr="001A4E1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Berlin Type Office">
    <w:panose1 w:val="020B0502020203020204"/>
    <w:charset w:val="00"/>
    <w:family w:val="swiss"/>
    <w:pitch w:val="variable"/>
    <w:sig w:usb0="00000287" w:usb1="00000001" w:usb2="00000000" w:usb3="00000000" w:csb0="0000009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F06E32"/>
    <w:multiLevelType w:val="hybridMultilevel"/>
    <w:tmpl w:val="09569668"/>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22808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E15"/>
    <w:rsid w:val="000064BA"/>
    <w:rsid w:val="001A4E15"/>
    <w:rsid w:val="003E0638"/>
    <w:rsid w:val="005B15A2"/>
    <w:rsid w:val="00706609"/>
    <w:rsid w:val="00A656E7"/>
    <w:rsid w:val="00C65516"/>
    <w:rsid w:val="00EB276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3FAAD"/>
  <w15:chartTrackingRefBased/>
  <w15:docId w15:val="{B823213C-25B9-449C-B221-A81E9EDE2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A4E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A4E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A4E1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A4E1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A4E1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A4E1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A4E1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A4E1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A4E1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A4E1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A4E1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A4E1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A4E1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A4E1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A4E1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A4E1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A4E1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A4E15"/>
    <w:rPr>
      <w:rFonts w:eastAsiaTheme="majorEastAsia" w:cstheme="majorBidi"/>
      <w:color w:val="272727" w:themeColor="text1" w:themeTint="D8"/>
    </w:rPr>
  </w:style>
  <w:style w:type="paragraph" w:styleId="Titel">
    <w:name w:val="Title"/>
    <w:basedOn w:val="Standard"/>
    <w:next w:val="Standard"/>
    <w:link w:val="TitelZchn"/>
    <w:uiPriority w:val="10"/>
    <w:qFormat/>
    <w:rsid w:val="001A4E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A4E1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A4E1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A4E1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A4E1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A4E15"/>
    <w:rPr>
      <w:i/>
      <w:iCs/>
      <w:color w:val="404040" w:themeColor="text1" w:themeTint="BF"/>
    </w:rPr>
  </w:style>
  <w:style w:type="paragraph" w:styleId="Listenabsatz">
    <w:name w:val="List Paragraph"/>
    <w:basedOn w:val="Standard"/>
    <w:uiPriority w:val="34"/>
    <w:qFormat/>
    <w:rsid w:val="001A4E15"/>
    <w:pPr>
      <w:ind w:left="720"/>
      <w:contextualSpacing/>
    </w:pPr>
  </w:style>
  <w:style w:type="character" w:styleId="IntensiveHervorhebung">
    <w:name w:val="Intense Emphasis"/>
    <w:basedOn w:val="Absatz-Standardschriftart"/>
    <w:uiPriority w:val="21"/>
    <w:qFormat/>
    <w:rsid w:val="001A4E15"/>
    <w:rPr>
      <w:i/>
      <w:iCs/>
      <w:color w:val="0F4761" w:themeColor="accent1" w:themeShade="BF"/>
    </w:rPr>
  </w:style>
  <w:style w:type="paragraph" w:styleId="IntensivesZitat">
    <w:name w:val="Intense Quote"/>
    <w:basedOn w:val="Standard"/>
    <w:next w:val="Standard"/>
    <w:link w:val="IntensivesZitatZchn"/>
    <w:uiPriority w:val="30"/>
    <w:qFormat/>
    <w:rsid w:val="001A4E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A4E15"/>
    <w:rPr>
      <w:i/>
      <w:iCs/>
      <w:color w:val="0F4761" w:themeColor="accent1" w:themeShade="BF"/>
    </w:rPr>
  </w:style>
  <w:style w:type="character" w:styleId="IntensiverVerweis">
    <w:name w:val="Intense Reference"/>
    <w:basedOn w:val="Absatz-Standardschriftart"/>
    <w:uiPriority w:val="32"/>
    <w:qFormat/>
    <w:rsid w:val="001A4E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393</Words>
  <Characters>2476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Demski, Patrick</dc:creator>
  <cp:keywords/>
  <dc:description/>
  <cp:lastModifiedBy>Demski, Patrick</cp:lastModifiedBy>
  <cp:revision>1</cp:revision>
  <dcterms:created xsi:type="dcterms:W3CDTF">2026-09-04T09:27:00Z</dcterms:created>
  <dcterms:modified xsi:type="dcterms:W3CDTF">2026-09-04T09:50:00Z</dcterms:modified>
</cp:coreProperties>
</file>