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F13E8A" w:rsidRPr="004C3792" w:rsidRDefault="00F13E8A" w:rsidP="00F13E8A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</w:t>
      </w:r>
      <w:r w:rsidR="004C3792"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das </w:t>
      </w: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F13E8A" w:rsidRPr="004C3792" w:rsidRDefault="00F13E8A" w:rsidP="00F13E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FA65D6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F13E8A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572224" w:rsidRDefault="00F13E8A" w:rsidP="00825433">
      <w:r>
        <w:t>Herr Bauer, vertreten durch Rechtsanwalt Jäger, reicht Klage gegen Herrn Naumann ü</w:t>
      </w:r>
      <w:r w:rsidR="004C3792">
        <w:t xml:space="preserve">ber eine Forderung in Höhe von </w:t>
      </w:r>
      <w:r w:rsidR="00093F6E">
        <w:t>64</w:t>
      </w:r>
      <w:r>
        <w:t>.</w:t>
      </w:r>
      <w:r w:rsidR="00093F6E">
        <w:t>1</w:t>
      </w:r>
      <w:r>
        <w:t>69 EUR ein.</w:t>
      </w:r>
    </w:p>
    <w:p w:rsidR="00543FC8" w:rsidRDefault="00F13E8A" w:rsidP="00825433">
      <w:r>
        <w:t xml:space="preserve">Nach Begründung der Klage und Zustellung der Klageschrift geht ein Schriftsatz ein, in dem der Beklagte, nun vertreten durch Rechtsanwalt Kramer, </w:t>
      </w:r>
      <w:r w:rsidR="00FA65D6">
        <w:t xml:space="preserve">Widerklage </w:t>
      </w:r>
      <w:r>
        <w:t>ein</w:t>
      </w:r>
      <w:r w:rsidR="00FA65D6">
        <w:t>legt</w:t>
      </w:r>
      <w:r>
        <w:t xml:space="preserve">. Mit diesem Schriftsatz </w:t>
      </w:r>
      <w:r w:rsidR="00FA65D6">
        <w:t xml:space="preserve">wird </w:t>
      </w:r>
      <w:r>
        <w:t>beantragt festzustellen, dass der Kläger Schadenersatz in Höhe von 4.500 EUR an den Beklagten zu zahlen hat.</w:t>
      </w:r>
    </w:p>
    <w:p w:rsidR="00093F6E" w:rsidRDefault="00093F6E" w:rsidP="00825433">
      <w:r>
        <w:t>Auf Antrag des Klägers wird ein Zeuge (Herr Gruber) geladen. Für ihn wurde ein Zeugenvorschuss in Höhe von 150,00 EUR eingezahlt. Dazu erg</w:t>
      </w:r>
      <w:r w:rsidR="00FA65D6">
        <w:t>ing</w:t>
      </w:r>
      <w:r>
        <w:t xml:space="preserve"> ein </w:t>
      </w:r>
      <w:proofErr w:type="spellStart"/>
      <w:r>
        <w:t>Beweissbeschluss</w:t>
      </w:r>
      <w:proofErr w:type="spellEnd"/>
      <w:r>
        <w:t>.</w:t>
      </w:r>
    </w:p>
    <w:p w:rsidR="00F13E8A" w:rsidRDefault="00F13E8A" w:rsidP="00825433">
      <w:r>
        <w:t>Auf Antrag des Beklagten werden zwei Zeugen</w:t>
      </w:r>
      <w:r w:rsidR="004C3792">
        <w:t xml:space="preserve"> (Hr. Meier und Hr. Müller)</w:t>
      </w:r>
      <w:r>
        <w:t xml:space="preserve"> geladen, die zur Sache vernommen werden sollen</w:t>
      </w:r>
      <w:r w:rsidR="00093F6E">
        <w:t>. Für die Zeugen des Beklagten wurde ein Kostenvorschuss</w:t>
      </w:r>
      <w:r w:rsidR="004C3792">
        <w:t>, in Höhe von je 150,00</w:t>
      </w:r>
      <w:r>
        <w:t xml:space="preserve"> EUR </w:t>
      </w:r>
      <w:r w:rsidR="00093F6E">
        <w:t>eingezahlt</w:t>
      </w:r>
      <w:r>
        <w:t>.</w:t>
      </w:r>
      <w:r w:rsidR="00093F6E">
        <w:t xml:space="preserve"> Dazu erg</w:t>
      </w:r>
      <w:r w:rsidR="00FA65D6">
        <w:t>ing</w:t>
      </w:r>
      <w:r w:rsidR="00093F6E">
        <w:t xml:space="preserve"> ein </w:t>
      </w:r>
      <w:proofErr w:type="spellStart"/>
      <w:r w:rsidR="00093F6E">
        <w:t>Beweissbeschluss</w:t>
      </w:r>
      <w:proofErr w:type="spellEnd"/>
      <w:r w:rsidR="00093F6E">
        <w:t>.</w:t>
      </w:r>
    </w:p>
    <w:p w:rsidR="00543FC8" w:rsidRDefault="0018391A" w:rsidP="00825433">
      <w:r>
        <w:t>Das Gericht beraumt schließlich einen Termin zur mündlichen Verhandlung an. In diesem Termin w</w:t>
      </w:r>
      <w:r w:rsidR="00F13E8A">
        <w:t>erden die</w:t>
      </w:r>
      <w:r>
        <w:t xml:space="preserve"> Zeuge</w:t>
      </w:r>
      <w:r w:rsidR="00F13E8A">
        <w:t>n</w:t>
      </w:r>
      <w:r>
        <w:t xml:space="preserve"> gehört, es wird streitig verhandelt und sodann ein Termin zur Verkündung einer Entscheidung anberaumt.</w:t>
      </w:r>
    </w:p>
    <w:p w:rsidR="00543FC8" w:rsidRDefault="00F13E8A" w:rsidP="00825433">
      <w:r>
        <w:t>Im Verkündungstermin wird ein Urteil mit folgendem Tenor verkündet:</w:t>
      </w:r>
    </w:p>
    <w:p w:rsidR="004C3792" w:rsidRDefault="004C3792" w:rsidP="00825433">
      <w:r>
        <w:t xml:space="preserve">„1. Der Beklagte wird verurteilt an den </w:t>
      </w:r>
      <w:r w:rsidR="00FA65D6">
        <w:t>Kläger eine Summe in Höhe von 37</w:t>
      </w:r>
      <w:r>
        <w:t>.333 EUR zu zahlen. Im Übrigen wird die Klage abgewiesen.</w:t>
      </w:r>
    </w:p>
    <w:p w:rsidR="004C3792" w:rsidRDefault="004C3792" w:rsidP="00825433">
      <w:r>
        <w:t>2. Die Widerklage wird abgewiesen</w:t>
      </w:r>
    </w:p>
    <w:p w:rsidR="004C3792" w:rsidRDefault="004C3792" w:rsidP="00825433">
      <w:r>
        <w:t>3. Von den Kosten des Rechtsstreits tragen der Kläger 20% und der Beklagte 80%...“</w:t>
      </w:r>
    </w:p>
    <w:p w:rsidR="004C3792" w:rsidRDefault="000A57DA" w:rsidP="00825433">
      <w:r>
        <w:t xml:space="preserve">Der Zeuge </w:t>
      </w:r>
      <w:r w:rsidR="004C3792">
        <w:t xml:space="preserve">Müller wird </w:t>
      </w:r>
      <w:r>
        <w:t>mit 1</w:t>
      </w:r>
      <w:r w:rsidR="004C3792">
        <w:t>57</w:t>
      </w:r>
      <w:r>
        <w:t xml:space="preserve">,00 EUR entschädigt. </w:t>
      </w:r>
      <w:r w:rsidR="004C3792">
        <w:t>Der Zeuge Meier wird mit 169,00 EUR entschädigt.</w:t>
      </w:r>
      <w:r w:rsidR="00093F6E">
        <w:t xml:space="preserve"> Der Zeuge Herr Gruber wird mit 155,00 EUR entschädigt.</w:t>
      </w:r>
    </w:p>
    <w:p w:rsidR="0025799C" w:rsidRDefault="0025799C" w:rsidP="008054E0">
      <w:r>
        <w:t>Folgende Zahlungen befinden sich in der Akte: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proofErr w:type="spellStart"/>
      <w:r>
        <w:t>Gerichtskostenstempler</w:t>
      </w:r>
      <w:proofErr w:type="spellEnd"/>
      <w:r>
        <w:t xml:space="preserve"> </w:t>
      </w:r>
      <w:proofErr w:type="spellStart"/>
      <w:r>
        <w:t>Bl</w:t>
      </w:r>
      <w:proofErr w:type="spellEnd"/>
      <w:r>
        <w:t>. 1 der Akte.</w:t>
      </w:r>
    </w:p>
    <w:p w:rsidR="004C3792" w:rsidRDefault="004C3792" w:rsidP="0025799C">
      <w:pPr>
        <w:pStyle w:val="Listenabsatz"/>
        <w:numPr>
          <w:ilvl w:val="0"/>
          <w:numId w:val="3"/>
        </w:numPr>
      </w:pPr>
      <w:r>
        <w:t>Sollstellungsmitteilung zu KSB-Nr. 12345677</w:t>
      </w:r>
    </w:p>
    <w:p w:rsidR="00093F6E" w:rsidRDefault="000E2ECF" w:rsidP="006C6C26">
      <w:pPr>
        <w:pStyle w:val="Listenabsatz"/>
        <w:numPr>
          <w:ilvl w:val="0"/>
          <w:numId w:val="3"/>
        </w:numPr>
      </w:pPr>
      <w:r>
        <w:t xml:space="preserve">ZA II </w:t>
      </w:r>
      <w:r w:rsidR="00FA65D6">
        <w:t xml:space="preserve"> </w:t>
      </w:r>
      <w:r w:rsidR="0025799C">
        <w:t xml:space="preserve">zu EGSTA-Nr. </w:t>
      </w:r>
      <w:r w:rsidR="000A57DA">
        <w:t>1</w:t>
      </w:r>
      <w:r w:rsidR="007C5D44">
        <w:t>07555998</w:t>
      </w:r>
    </w:p>
    <w:p w:rsidR="00825433" w:rsidRDefault="00093F6E" w:rsidP="005D211B">
      <w:pPr>
        <w:pStyle w:val="Listenabsatz"/>
        <w:numPr>
          <w:ilvl w:val="0"/>
          <w:numId w:val="3"/>
        </w:numPr>
      </w:pPr>
      <w:r>
        <w:t>ZA III zu EGSTA-Nr. 109876544</w:t>
      </w:r>
      <w:r w:rsidR="008054E0">
        <w:t xml:space="preserve">  </w:t>
      </w:r>
      <w:bookmarkStart w:id="0" w:name="_GoBack"/>
      <w:bookmarkEnd w:id="0"/>
    </w:p>
    <w:p w:rsidR="00093F6E" w:rsidRPr="00825433" w:rsidRDefault="00BF4844" w:rsidP="00093F6E">
      <w:r>
        <w:t>In der Akte befinden sich 14</w:t>
      </w:r>
      <w:r w:rsidR="00093F6E">
        <w:t xml:space="preserve"> Zustellungsurkunden.</w:t>
      </w:r>
    </w:p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59" w:rsidRDefault="00D65859" w:rsidP="00ED41C3">
      <w:pPr>
        <w:spacing w:after="0" w:line="240" w:lineRule="auto"/>
      </w:pPr>
      <w:r>
        <w:separator/>
      </w:r>
    </w:p>
  </w:endnote>
  <w:endnote w:type="continuationSeparator" w:id="0">
    <w:p w:rsidR="00D65859" w:rsidRDefault="00D65859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AE28DF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F3178A">
            <w:rPr>
              <w:sz w:val="18"/>
              <w:szCs w:val="18"/>
            </w:rPr>
            <w:t>01</w:t>
          </w:r>
          <w:r w:rsidR="004C3792">
            <w:rPr>
              <w:sz w:val="18"/>
              <w:szCs w:val="18"/>
            </w:rPr>
            <w:t>3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59" w:rsidRDefault="00D65859" w:rsidP="00ED41C3">
      <w:pPr>
        <w:spacing w:after="0" w:line="240" w:lineRule="auto"/>
      </w:pPr>
      <w:r>
        <w:separator/>
      </w:r>
    </w:p>
  </w:footnote>
  <w:footnote w:type="continuationSeparator" w:id="0">
    <w:p w:rsidR="00D65859" w:rsidRDefault="00D65859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F13E8A">
          <w:pPr>
            <w:pStyle w:val="Kopfzeile"/>
          </w:pPr>
          <w:r>
            <w:t>Ü01</w:t>
          </w:r>
          <w:r w:rsidR="00F13E8A">
            <w:t>3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93F6E"/>
    <w:rsid w:val="000A57DA"/>
    <w:rsid w:val="000D1DFF"/>
    <w:rsid w:val="000E2ECF"/>
    <w:rsid w:val="0018391A"/>
    <w:rsid w:val="00193A4E"/>
    <w:rsid w:val="0022349B"/>
    <w:rsid w:val="0025799C"/>
    <w:rsid w:val="00342887"/>
    <w:rsid w:val="003D288F"/>
    <w:rsid w:val="00402390"/>
    <w:rsid w:val="00415905"/>
    <w:rsid w:val="00436156"/>
    <w:rsid w:val="00463CBC"/>
    <w:rsid w:val="004C3792"/>
    <w:rsid w:val="004F0927"/>
    <w:rsid w:val="00543FC8"/>
    <w:rsid w:val="00566509"/>
    <w:rsid w:val="00572224"/>
    <w:rsid w:val="005B303C"/>
    <w:rsid w:val="005F71A4"/>
    <w:rsid w:val="00607432"/>
    <w:rsid w:val="0079723C"/>
    <w:rsid w:val="007A467F"/>
    <w:rsid w:val="007C5D44"/>
    <w:rsid w:val="007E20C2"/>
    <w:rsid w:val="007F308D"/>
    <w:rsid w:val="008054E0"/>
    <w:rsid w:val="00824410"/>
    <w:rsid w:val="00825433"/>
    <w:rsid w:val="008D0C88"/>
    <w:rsid w:val="00974D7A"/>
    <w:rsid w:val="00A95996"/>
    <w:rsid w:val="00A96757"/>
    <w:rsid w:val="00AE28DF"/>
    <w:rsid w:val="00B32AFC"/>
    <w:rsid w:val="00B6365C"/>
    <w:rsid w:val="00BB393E"/>
    <w:rsid w:val="00BF11F0"/>
    <w:rsid w:val="00BF4844"/>
    <w:rsid w:val="00CD4AA0"/>
    <w:rsid w:val="00D567F9"/>
    <w:rsid w:val="00D65859"/>
    <w:rsid w:val="00E746D5"/>
    <w:rsid w:val="00EA6D81"/>
    <w:rsid w:val="00ED41C3"/>
    <w:rsid w:val="00F07A74"/>
    <w:rsid w:val="00F13E8A"/>
    <w:rsid w:val="00F3178A"/>
    <w:rsid w:val="00FA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E4D43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5</cp:revision>
  <cp:lastPrinted>2023-09-15T06:01:00Z</cp:lastPrinted>
  <dcterms:created xsi:type="dcterms:W3CDTF">2023-11-21T11:59:00Z</dcterms:created>
  <dcterms:modified xsi:type="dcterms:W3CDTF">2023-11-22T06:35:00Z</dcterms:modified>
</cp:coreProperties>
</file>