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C049A" w14:textId="7FB3DB2A" w:rsidR="004C0099" w:rsidRPr="007C3ED5" w:rsidRDefault="00A41FD6" w:rsidP="007C3ED5">
      <w:pPr>
        <w:spacing w:line="312" w:lineRule="auto"/>
        <w:jc w:val="center"/>
        <w:rPr>
          <w:rFonts w:ascii="Comic Sans MS" w:hAnsi="Comic Sans MS" w:cs="Arial"/>
          <w:b/>
          <w:bCs/>
          <w:sz w:val="24"/>
          <w:szCs w:val="24"/>
        </w:rPr>
      </w:pPr>
      <w:r>
        <w:rPr>
          <w:rFonts w:ascii="Comic Sans MS" w:hAnsi="Comic Sans MS" w:cs="Arial"/>
          <w:b/>
          <w:bCs/>
          <w:sz w:val="24"/>
          <w:szCs w:val="24"/>
        </w:rPr>
        <w:t>Lösung/</w:t>
      </w:r>
      <w:r w:rsidR="007C3ED5" w:rsidRPr="007C3ED5">
        <w:rPr>
          <w:rFonts w:ascii="Comic Sans MS" w:hAnsi="Comic Sans MS" w:cs="Arial"/>
          <w:b/>
          <w:bCs/>
          <w:sz w:val="24"/>
          <w:szCs w:val="24"/>
        </w:rPr>
        <w:t>Übungsfragen und Lernkontrollen für die 1 Klausur M</w:t>
      </w:r>
      <w:r w:rsidR="00C8743A">
        <w:rPr>
          <w:rFonts w:ascii="Comic Sans MS" w:hAnsi="Comic Sans MS" w:cs="Arial"/>
          <w:b/>
          <w:bCs/>
          <w:sz w:val="24"/>
          <w:szCs w:val="24"/>
        </w:rPr>
        <w:t>2</w:t>
      </w:r>
      <w:r w:rsidR="007C3ED5" w:rsidRPr="007C3ED5">
        <w:rPr>
          <w:rFonts w:ascii="Comic Sans MS" w:hAnsi="Comic Sans MS" w:cs="Arial"/>
          <w:b/>
          <w:bCs/>
          <w:sz w:val="24"/>
          <w:szCs w:val="24"/>
        </w:rPr>
        <w:t>/25</w:t>
      </w:r>
      <w:r w:rsidR="007C3ED5" w:rsidRPr="007C3ED5">
        <w:rPr>
          <w:rFonts w:ascii="Comic Sans MS" w:hAnsi="Comic Sans MS" w:cs="Arial"/>
          <w:b/>
          <w:bCs/>
          <w:sz w:val="24"/>
          <w:szCs w:val="24"/>
        </w:rPr>
        <w:br/>
      </w:r>
      <w:r w:rsidR="007C3ED5" w:rsidRPr="007C3ED5">
        <w:rPr>
          <w:rFonts w:ascii="Comic Sans MS" w:hAnsi="Comic Sans MS" w:cs="Arial"/>
          <w:b/>
          <w:bCs/>
          <w:sz w:val="24"/>
          <w:szCs w:val="24"/>
        </w:rPr>
        <w:br/>
      </w:r>
    </w:p>
    <w:p w14:paraId="1CC6AE84" w14:textId="77777777" w:rsidR="00A41FD6" w:rsidRDefault="00A41FD6" w:rsidP="00A41FD6">
      <w:pPr>
        <w:pStyle w:val="Listenabsatz"/>
        <w:numPr>
          <w:ilvl w:val="0"/>
          <w:numId w:val="2"/>
        </w:numPr>
        <w:spacing w:line="312" w:lineRule="auto"/>
        <w:rPr>
          <w:rFonts w:ascii="Arial" w:hAnsi="Arial" w:cs="Arial"/>
          <w:sz w:val="24"/>
          <w:szCs w:val="24"/>
        </w:rPr>
      </w:pPr>
      <w:r>
        <w:rPr>
          <w:rFonts w:ascii="Arial" w:hAnsi="Arial" w:cs="Arial"/>
          <w:sz w:val="24"/>
          <w:szCs w:val="24"/>
        </w:rPr>
        <w:t xml:space="preserve">Untergliedern Sie die Familiensachen nach § 111 </w:t>
      </w:r>
      <w:proofErr w:type="spellStart"/>
      <w:r>
        <w:rPr>
          <w:rFonts w:ascii="Arial" w:hAnsi="Arial" w:cs="Arial"/>
          <w:sz w:val="24"/>
          <w:szCs w:val="24"/>
        </w:rPr>
        <w:t>FamFG</w:t>
      </w:r>
      <w:proofErr w:type="spellEnd"/>
      <w:r>
        <w:rPr>
          <w:rFonts w:ascii="Arial" w:hAnsi="Arial" w:cs="Arial"/>
          <w:sz w:val="24"/>
          <w:szCs w:val="24"/>
        </w:rPr>
        <w:t xml:space="preserve"> in ihre drei großen Hauptbereiche und nennen Sie zu jedem Bereich ein konkretes Beispiel.</w:t>
      </w:r>
      <w:r>
        <w:rPr>
          <w:rFonts w:ascii="Arial" w:hAnsi="Arial" w:cs="Arial"/>
          <w:sz w:val="24"/>
          <w:szCs w:val="24"/>
        </w:rPr>
        <w:br/>
      </w:r>
      <w:r>
        <w:rPr>
          <w:rFonts w:ascii="Arial" w:hAnsi="Arial" w:cs="Arial"/>
          <w:sz w:val="24"/>
          <w:szCs w:val="24"/>
        </w:rPr>
        <w:br/>
      </w:r>
      <w:r w:rsidRPr="00D566CD">
        <w:rPr>
          <w:rFonts w:ascii="Arial" w:hAnsi="Arial" w:cs="Arial"/>
          <w:color w:val="275317" w:themeColor="accent6" w:themeShade="80"/>
          <w:sz w:val="24"/>
          <w:szCs w:val="24"/>
        </w:rPr>
        <w:t xml:space="preserve">Ehesachen </w:t>
      </w:r>
      <w:r w:rsidRPr="00D566CD">
        <w:rPr>
          <w:rFonts w:ascii="Arial" w:hAnsi="Arial" w:cs="Arial"/>
          <w:color w:val="275317" w:themeColor="accent6" w:themeShade="80"/>
          <w:sz w:val="24"/>
          <w:szCs w:val="24"/>
        </w:rPr>
        <w:br/>
        <w:t>- Scheidung</w:t>
      </w:r>
      <w:r w:rsidRPr="00D566CD">
        <w:rPr>
          <w:rFonts w:ascii="Arial" w:hAnsi="Arial" w:cs="Arial"/>
          <w:color w:val="275317" w:themeColor="accent6" w:themeShade="80"/>
          <w:sz w:val="24"/>
          <w:szCs w:val="24"/>
        </w:rPr>
        <w:br/>
        <w:t>- Aufhebung der Ehe</w:t>
      </w:r>
      <w:r w:rsidRPr="00D566CD">
        <w:rPr>
          <w:rFonts w:ascii="Arial" w:hAnsi="Arial" w:cs="Arial"/>
          <w:color w:val="275317" w:themeColor="accent6" w:themeShade="80"/>
          <w:sz w:val="24"/>
          <w:szCs w:val="24"/>
        </w:rPr>
        <w:br/>
      </w:r>
      <w:r w:rsidRPr="00D566CD">
        <w:rPr>
          <w:rFonts w:ascii="Arial" w:hAnsi="Arial" w:cs="Arial"/>
          <w:color w:val="275317" w:themeColor="accent6" w:themeShade="80"/>
          <w:sz w:val="24"/>
          <w:szCs w:val="24"/>
        </w:rPr>
        <w:br/>
        <w:t xml:space="preserve">Familienstreitsachen </w:t>
      </w:r>
      <w:r w:rsidRPr="00D566CD">
        <w:rPr>
          <w:rFonts w:ascii="Arial" w:hAnsi="Arial" w:cs="Arial"/>
          <w:color w:val="275317" w:themeColor="accent6" w:themeShade="80"/>
          <w:sz w:val="24"/>
          <w:szCs w:val="24"/>
        </w:rPr>
        <w:br/>
        <w:t>- Unterhalt</w:t>
      </w:r>
      <w:r w:rsidRPr="00D566CD">
        <w:rPr>
          <w:rFonts w:ascii="Arial" w:hAnsi="Arial" w:cs="Arial"/>
          <w:color w:val="275317" w:themeColor="accent6" w:themeShade="80"/>
          <w:sz w:val="24"/>
          <w:szCs w:val="24"/>
        </w:rPr>
        <w:br/>
        <w:t>- Güterrecht</w:t>
      </w:r>
      <w:r w:rsidRPr="00D566CD">
        <w:rPr>
          <w:rFonts w:ascii="Arial" w:hAnsi="Arial" w:cs="Arial"/>
          <w:color w:val="275317" w:themeColor="accent6" w:themeShade="80"/>
          <w:sz w:val="24"/>
          <w:szCs w:val="24"/>
        </w:rPr>
        <w:br/>
        <w:t>- sonstige Familiensachen</w:t>
      </w:r>
      <w:r w:rsidRPr="00D566CD">
        <w:rPr>
          <w:rFonts w:ascii="Arial" w:hAnsi="Arial" w:cs="Arial"/>
          <w:color w:val="275317" w:themeColor="accent6" w:themeShade="80"/>
          <w:sz w:val="24"/>
          <w:szCs w:val="24"/>
        </w:rPr>
        <w:br/>
      </w:r>
      <w:r w:rsidRPr="00D566CD">
        <w:rPr>
          <w:rFonts w:ascii="Arial" w:hAnsi="Arial" w:cs="Arial"/>
          <w:color w:val="275317" w:themeColor="accent6" w:themeShade="80"/>
          <w:sz w:val="24"/>
          <w:szCs w:val="24"/>
        </w:rPr>
        <w:br/>
        <w:t>Angelegenheiten der freiwilligen Gerichtbarkeit</w:t>
      </w:r>
      <w:r w:rsidRPr="00D566CD">
        <w:rPr>
          <w:rFonts w:ascii="Arial" w:hAnsi="Arial" w:cs="Arial"/>
          <w:color w:val="275317" w:themeColor="accent6" w:themeShade="80"/>
          <w:sz w:val="24"/>
          <w:szCs w:val="24"/>
        </w:rPr>
        <w:br/>
        <w:t>- elterliche Sorge</w:t>
      </w:r>
      <w:r w:rsidRPr="00D566CD">
        <w:rPr>
          <w:rFonts w:ascii="Arial" w:hAnsi="Arial" w:cs="Arial"/>
          <w:color w:val="275317" w:themeColor="accent6" w:themeShade="80"/>
          <w:sz w:val="24"/>
          <w:szCs w:val="24"/>
        </w:rPr>
        <w:br/>
        <w:t>- Umgang</w:t>
      </w:r>
      <w:r w:rsidRPr="00D566CD">
        <w:rPr>
          <w:rFonts w:ascii="Arial" w:hAnsi="Arial" w:cs="Arial"/>
          <w:color w:val="275317" w:themeColor="accent6" w:themeShade="80"/>
          <w:sz w:val="24"/>
          <w:szCs w:val="24"/>
        </w:rPr>
        <w:br/>
        <w:t>- Vormundschaft usw.</w:t>
      </w:r>
      <w:r>
        <w:rPr>
          <w:rFonts w:ascii="Arial" w:hAnsi="Arial" w:cs="Arial"/>
          <w:sz w:val="24"/>
          <w:szCs w:val="24"/>
        </w:rPr>
        <w:br/>
      </w:r>
    </w:p>
    <w:p w14:paraId="0D21AFA2" w14:textId="77777777" w:rsidR="00A41FD6" w:rsidRPr="00D566CD" w:rsidRDefault="00A41FD6" w:rsidP="00A41FD6">
      <w:pPr>
        <w:pStyle w:val="Listenabsatz"/>
        <w:numPr>
          <w:ilvl w:val="0"/>
          <w:numId w:val="2"/>
        </w:numPr>
        <w:spacing w:line="312" w:lineRule="auto"/>
        <w:rPr>
          <w:rFonts w:ascii="Arial" w:hAnsi="Arial" w:cs="Arial"/>
          <w:sz w:val="24"/>
          <w:szCs w:val="24"/>
        </w:rPr>
      </w:pPr>
      <w:r>
        <w:rPr>
          <w:rFonts w:ascii="Arial" w:hAnsi="Arial" w:cs="Arial"/>
          <w:sz w:val="24"/>
          <w:szCs w:val="24"/>
        </w:rPr>
        <w:t>Im Familienrecht gelten andere Begrifflichkeiten als im klassischen Zivilprozess (ZPO). Nennen Sie die familienrechtlichen Unterschiede zu den ZPO-Begriffen:</w:t>
      </w:r>
      <w:r>
        <w:rPr>
          <w:rFonts w:ascii="Arial" w:hAnsi="Arial" w:cs="Arial"/>
          <w:sz w:val="24"/>
          <w:szCs w:val="24"/>
        </w:rPr>
        <w:br/>
        <w:t>Klage, Kläger, Beklagter, Partei und Prozess.</w:t>
      </w:r>
      <w:r>
        <w:rPr>
          <w:rFonts w:ascii="Arial" w:hAnsi="Arial" w:cs="Arial"/>
          <w:sz w:val="24"/>
          <w:szCs w:val="24"/>
        </w:rPr>
        <w:br/>
      </w:r>
      <w:r>
        <w:rPr>
          <w:rFonts w:ascii="Arial" w:hAnsi="Arial" w:cs="Arial"/>
          <w:sz w:val="24"/>
          <w:szCs w:val="24"/>
        </w:rPr>
        <w:br/>
      </w:r>
      <w:r w:rsidRPr="00D566CD">
        <w:rPr>
          <w:rFonts w:ascii="Arial" w:hAnsi="Arial" w:cs="Arial"/>
          <w:color w:val="275317" w:themeColor="accent6" w:themeShade="80"/>
          <w:sz w:val="24"/>
          <w:szCs w:val="24"/>
        </w:rPr>
        <w:t xml:space="preserve">Klage </w:t>
      </w:r>
      <w:r w:rsidRPr="00D566CD">
        <w:rPr>
          <w:rFonts w:ascii="Arial" w:hAnsi="Arial" w:cs="Arial"/>
          <w:color w:val="275317" w:themeColor="accent6" w:themeShade="80"/>
          <w:sz w:val="24"/>
          <w:szCs w:val="24"/>
        </w:rPr>
        <w:tab/>
      </w:r>
      <w:r w:rsidRPr="00D566CD">
        <w:rPr>
          <w:rFonts w:ascii="Arial" w:hAnsi="Arial" w:cs="Arial"/>
          <w:color w:val="275317" w:themeColor="accent6" w:themeShade="80"/>
          <w:sz w:val="24"/>
          <w:szCs w:val="24"/>
        </w:rPr>
        <w:tab/>
      </w:r>
      <w:r w:rsidRPr="00D566CD">
        <w:rPr>
          <w:rFonts w:ascii="Arial" w:hAnsi="Arial" w:cs="Arial"/>
          <w:color w:val="275317" w:themeColor="accent6" w:themeShade="80"/>
          <w:sz w:val="24"/>
          <w:szCs w:val="24"/>
        </w:rPr>
        <w:sym w:font="Wingdings" w:char="F0E0"/>
      </w:r>
      <w:r w:rsidRPr="00D566CD">
        <w:rPr>
          <w:rFonts w:ascii="Arial" w:hAnsi="Arial" w:cs="Arial"/>
          <w:color w:val="275317" w:themeColor="accent6" w:themeShade="80"/>
          <w:sz w:val="24"/>
          <w:szCs w:val="24"/>
        </w:rPr>
        <w:t xml:space="preserve"> Antrag</w:t>
      </w:r>
      <w:r w:rsidRPr="00D566CD">
        <w:rPr>
          <w:rFonts w:ascii="Arial" w:hAnsi="Arial" w:cs="Arial"/>
          <w:color w:val="275317" w:themeColor="accent6" w:themeShade="80"/>
          <w:sz w:val="24"/>
          <w:szCs w:val="24"/>
        </w:rPr>
        <w:br/>
        <w:t>Kläger</w:t>
      </w:r>
      <w:r w:rsidRPr="00D566CD">
        <w:rPr>
          <w:rFonts w:ascii="Arial" w:hAnsi="Arial" w:cs="Arial"/>
          <w:color w:val="275317" w:themeColor="accent6" w:themeShade="80"/>
          <w:sz w:val="24"/>
          <w:szCs w:val="24"/>
        </w:rPr>
        <w:tab/>
      </w:r>
      <w:r w:rsidRPr="00D566CD">
        <w:rPr>
          <w:rFonts w:ascii="Arial" w:hAnsi="Arial" w:cs="Arial"/>
          <w:color w:val="275317" w:themeColor="accent6" w:themeShade="80"/>
          <w:sz w:val="24"/>
          <w:szCs w:val="24"/>
        </w:rPr>
        <w:tab/>
      </w:r>
      <w:r w:rsidRPr="00D566CD">
        <w:rPr>
          <w:rFonts w:ascii="Arial" w:hAnsi="Arial" w:cs="Arial"/>
          <w:color w:val="275317" w:themeColor="accent6" w:themeShade="80"/>
          <w:sz w:val="24"/>
          <w:szCs w:val="24"/>
        </w:rPr>
        <w:sym w:font="Wingdings" w:char="F0E0"/>
      </w:r>
      <w:r w:rsidRPr="00D566CD">
        <w:rPr>
          <w:rFonts w:ascii="Arial" w:hAnsi="Arial" w:cs="Arial"/>
          <w:color w:val="275317" w:themeColor="accent6" w:themeShade="80"/>
          <w:sz w:val="24"/>
          <w:szCs w:val="24"/>
        </w:rPr>
        <w:t xml:space="preserve"> Antragsteller</w:t>
      </w:r>
      <w:r w:rsidRPr="00D566CD">
        <w:rPr>
          <w:rFonts w:ascii="Arial" w:hAnsi="Arial" w:cs="Arial"/>
          <w:color w:val="275317" w:themeColor="accent6" w:themeShade="80"/>
          <w:sz w:val="24"/>
          <w:szCs w:val="24"/>
        </w:rPr>
        <w:br/>
        <w:t>Beklagter</w:t>
      </w:r>
      <w:r w:rsidRPr="00D566CD">
        <w:rPr>
          <w:rFonts w:ascii="Arial" w:hAnsi="Arial" w:cs="Arial"/>
          <w:color w:val="275317" w:themeColor="accent6" w:themeShade="80"/>
          <w:sz w:val="24"/>
          <w:szCs w:val="24"/>
        </w:rPr>
        <w:tab/>
      </w:r>
      <w:r w:rsidRPr="00D566CD">
        <w:rPr>
          <w:rFonts w:ascii="Arial" w:hAnsi="Arial" w:cs="Arial"/>
          <w:color w:val="275317" w:themeColor="accent6" w:themeShade="80"/>
          <w:sz w:val="24"/>
          <w:szCs w:val="24"/>
        </w:rPr>
        <w:tab/>
      </w:r>
      <w:r w:rsidRPr="00D566CD">
        <w:rPr>
          <w:rFonts w:ascii="Arial" w:hAnsi="Arial" w:cs="Arial"/>
          <w:color w:val="275317" w:themeColor="accent6" w:themeShade="80"/>
          <w:sz w:val="24"/>
          <w:szCs w:val="24"/>
        </w:rPr>
        <w:sym w:font="Wingdings" w:char="F0E0"/>
      </w:r>
      <w:r w:rsidRPr="00D566CD">
        <w:rPr>
          <w:rFonts w:ascii="Arial" w:hAnsi="Arial" w:cs="Arial"/>
          <w:color w:val="275317" w:themeColor="accent6" w:themeShade="80"/>
          <w:sz w:val="24"/>
          <w:szCs w:val="24"/>
        </w:rPr>
        <w:t xml:space="preserve"> Antragsgegner</w:t>
      </w:r>
      <w:r w:rsidRPr="00D566CD">
        <w:rPr>
          <w:rFonts w:ascii="Arial" w:hAnsi="Arial" w:cs="Arial"/>
          <w:color w:val="275317" w:themeColor="accent6" w:themeShade="80"/>
          <w:sz w:val="24"/>
          <w:szCs w:val="24"/>
        </w:rPr>
        <w:br/>
        <w:t xml:space="preserve">Partei </w:t>
      </w:r>
      <w:r w:rsidRPr="00D566CD">
        <w:rPr>
          <w:rFonts w:ascii="Arial" w:hAnsi="Arial" w:cs="Arial"/>
          <w:color w:val="275317" w:themeColor="accent6" w:themeShade="80"/>
          <w:sz w:val="24"/>
          <w:szCs w:val="24"/>
        </w:rPr>
        <w:tab/>
      </w:r>
      <w:r w:rsidRPr="00D566CD">
        <w:rPr>
          <w:rFonts w:ascii="Arial" w:hAnsi="Arial" w:cs="Arial"/>
          <w:color w:val="275317" w:themeColor="accent6" w:themeShade="80"/>
          <w:sz w:val="24"/>
          <w:szCs w:val="24"/>
        </w:rPr>
        <w:tab/>
      </w:r>
      <w:r w:rsidRPr="00D566CD">
        <w:rPr>
          <w:rFonts w:ascii="Arial" w:hAnsi="Arial" w:cs="Arial"/>
          <w:color w:val="275317" w:themeColor="accent6" w:themeShade="80"/>
          <w:sz w:val="24"/>
          <w:szCs w:val="24"/>
        </w:rPr>
        <w:sym w:font="Wingdings" w:char="F0E0"/>
      </w:r>
      <w:r w:rsidRPr="00D566CD">
        <w:rPr>
          <w:rFonts w:ascii="Arial" w:hAnsi="Arial" w:cs="Arial"/>
          <w:color w:val="275317" w:themeColor="accent6" w:themeShade="80"/>
          <w:sz w:val="24"/>
          <w:szCs w:val="24"/>
        </w:rPr>
        <w:t xml:space="preserve"> Beteiligter</w:t>
      </w:r>
      <w:r w:rsidRPr="00D566CD">
        <w:rPr>
          <w:rFonts w:ascii="Arial" w:hAnsi="Arial" w:cs="Arial"/>
          <w:color w:val="275317" w:themeColor="accent6" w:themeShade="80"/>
          <w:sz w:val="24"/>
          <w:szCs w:val="24"/>
        </w:rPr>
        <w:br/>
        <w:t>Prozess</w:t>
      </w:r>
      <w:r w:rsidRPr="00D566CD">
        <w:rPr>
          <w:rFonts w:ascii="Arial" w:hAnsi="Arial" w:cs="Arial"/>
          <w:color w:val="275317" w:themeColor="accent6" w:themeShade="80"/>
          <w:sz w:val="24"/>
          <w:szCs w:val="24"/>
        </w:rPr>
        <w:tab/>
      </w:r>
      <w:r w:rsidRPr="00D566CD">
        <w:rPr>
          <w:rFonts w:ascii="Arial" w:hAnsi="Arial" w:cs="Arial"/>
          <w:color w:val="275317" w:themeColor="accent6" w:themeShade="80"/>
          <w:sz w:val="24"/>
          <w:szCs w:val="24"/>
        </w:rPr>
        <w:tab/>
      </w:r>
      <w:r w:rsidRPr="00D566CD">
        <w:rPr>
          <w:rFonts w:ascii="Arial" w:hAnsi="Arial" w:cs="Arial"/>
          <w:color w:val="275317" w:themeColor="accent6" w:themeShade="80"/>
          <w:sz w:val="24"/>
          <w:szCs w:val="24"/>
        </w:rPr>
        <w:sym w:font="Wingdings" w:char="F0E0"/>
      </w:r>
      <w:r w:rsidRPr="00D566CD">
        <w:rPr>
          <w:rFonts w:ascii="Arial" w:hAnsi="Arial" w:cs="Arial"/>
          <w:color w:val="275317" w:themeColor="accent6" w:themeShade="80"/>
          <w:sz w:val="24"/>
          <w:szCs w:val="24"/>
        </w:rPr>
        <w:t xml:space="preserve"> Verfahren </w:t>
      </w:r>
      <w:r w:rsidRPr="00D566CD">
        <w:rPr>
          <w:rFonts w:ascii="Arial" w:hAnsi="Arial" w:cs="Arial"/>
          <w:sz w:val="24"/>
          <w:szCs w:val="24"/>
        </w:rPr>
        <w:br/>
      </w:r>
    </w:p>
    <w:p w14:paraId="605B9DBC" w14:textId="77777777" w:rsidR="00A41FD6" w:rsidRDefault="00A41FD6" w:rsidP="00A41FD6">
      <w:pPr>
        <w:pStyle w:val="Listenabsatz"/>
        <w:numPr>
          <w:ilvl w:val="0"/>
          <w:numId w:val="2"/>
        </w:numPr>
        <w:spacing w:line="312" w:lineRule="auto"/>
        <w:rPr>
          <w:rFonts w:ascii="Arial" w:hAnsi="Arial" w:cs="Arial"/>
          <w:sz w:val="24"/>
          <w:szCs w:val="24"/>
        </w:rPr>
      </w:pPr>
      <w:r>
        <w:rPr>
          <w:rFonts w:ascii="Arial" w:hAnsi="Arial" w:cs="Arial"/>
          <w:sz w:val="24"/>
          <w:szCs w:val="24"/>
        </w:rPr>
        <w:t xml:space="preserve">Bestimmen Sie für die folgenden drei Tätigkeiten die funktionelle Zuständigkeit </w:t>
      </w:r>
      <w:r>
        <w:rPr>
          <w:rFonts w:ascii="Arial" w:hAnsi="Arial" w:cs="Arial"/>
          <w:sz w:val="24"/>
          <w:szCs w:val="24"/>
        </w:rPr>
        <w:br/>
        <w:t xml:space="preserve">(Richter, Rechtspfleger oder </w:t>
      </w:r>
      <w:proofErr w:type="spellStart"/>
      <w:r>
        <w:rPr>
          <w:rFonts w:ascii="Arial" w:hAnsi="Arial" w:cs="Arial"/>
          <w:sz w:val="24"/>
          <w:szCs w:val="24"/>
        </w:rPr>
        <w:t>UdG</w:t>
      </w:r>
      <w:proofErr w:type="spellEnd"/>
      <w:r>
        <w:rPr>
          <w:rFonts w:ascii="Arial" w:hAnsi="Arial" w:cs="Arial"/>
          <w:sz w:val="24"/>
          <w:szCs w:val="24"/>
        </w:rPr>
        <w:t>)</w:t>
      </w:r>
      <w:r>
        <w:rPr>
          <w:rFonts w:ascii="Arial" w:hAnsi="Arial" w:cs="Arial"/>
          <w:sz w:val="24"/>
          <w:szCs w:val="24"/>
        </w:rPr>
        <w:br/>
      </w:r>
    </w:p>
    <w:p w14:paraId="35BF24DE" w14:textId="77777777" w:rsidR="00A41FD6" w:rsidRDefault="00A41FD6" w:rsidP="00A41FD6">
      <w:pPr>
        <w:pStyle w:val="Listenabsatz"/>
        <w:numPr>
          <w:ilvl w:val="1"/>
          <w:numId w:val="2"/>
        </w:numPr>
        <w:spacing w:line="312" w:lineRule="auto"/>
        <w:rPr>
          <w:rFonts w:ascii="Arial" w:hAnsi="Arial" w:cs="Arial"/>
          <w:sz w:val="24"/>
          <w:szCs w:val="24"/>
        </w:rPr>
      </w:pPr>
      <w:r>
        <w:rPr>
          <w:rFonts w:ascii="Arial" w:hAnsi="Arial" w:cs="Arial"/>
          <w:sz w:val="24"/>
          <w:szCs w:val="24"/>
        </w:rPr>
        <w:t xml:space="preserve">Entscheidung über einen Antrag auf Ehescheidung </w:t>
      </w:r>
      <w:r w:rsidRPr="00D566CD">
        <w:rPr>
          <w:rFonts w:ascii="Arial" w:hAnsi="Arial" w:cs="Arial"/>
          <w:sz w:val="24"/>
          <w:szCs w:val="24"/>
        </w:rPr>
        <w:sym w:font="Wingdings" w:char="F0E0"/>
      </w:r>
      <w:r w:rsidRPr="00D566CD">
        <w:rPr>
          <w:rFonts w:ascii="Arial" w:hAnsi="Arial" w:cs="Arial"/>
          <w:color w:val="275317" w:themeColor="accent6" w:themeShade="80"/>
          <w:sz w:val="24"/>
          <w:szCs w:val="24"/>
        </w:rPr>
        <w:t xml:space="preserve"> RI</w:t>
      </w:r>
    </w:p>
    <w:p w14:paraId="00F61DE3" w14:textId="77777777" w:rsidR="00A41FD6" w:rsidRDefault="00A41FD6" w:rsidP="00A41FD6">
      <w:pPr>
        <w:pStyle w:val="Listenabsatz"/>
        <w:numPr>
          <w:ilvl w:val="1"/>
          <w:numId w:val="2"/>
        </w:numPr>
        <w:spacing w:line="312" w:lineRule="auto"/>
        <w:rPr>
          <w:rFonts w:ascii="Arial" w:hAnsi="Arial" w:cs="Arial"/>
          <w:sz w:val="24"/>
          <w:szCs w:val="24"/>
        </w:rPr>
      </w:pPr>
      <w:r>
        <w:rPr>
          <w:rFonts w:ascii="Arial" w:hAnsi="Arial" w:cs="Arial"/>
          <w:sz w:val="24"/>
          <w:szCs w:val="24"/>
        </w:rPr>
        <w:t xml:space="preserve">Aufhebung der bewilligten Verfahrenskostenhilfe wegen Ratenzahlungsrückstand. </w:t>
      </w:r>
      <w:r w:rsidRPr="00D566CD">
        <w:rPr>
          <w:rFonts w:ascii="Arial" w:hAnsi="Arial" w:cs="Arial"/>
          <w:sz w:val="24"/>
          <w:szCs w:val="24"/>
        </w:rPr>
        <w:sym w:font="Wingdings" w:char="F0E0"/>
      </w:r>
      <w:r>
        <w:rPr>
          <w:rFonts w:ascii="Arial" w:hAnsi="Arial" w:cs="Arial"/>
          <w:sz w:val="24"/>
          <w:szCs w:val="24"/>
        </w:rPr>
        <w:t xml:space="preserve"> </w:t>
      </w:r>
      <w:r w:rsidRPr="00D566CD">
        <w:rPr>
          <w:rFonts w:ascii="Arial" w:hAnsi="Arial" w:cs="Arial"/>
          <w:color w:val="275317" w:themeColor="accent6" w:themeShade="80"/>
          <w:sz w:val="24"/>
          <w:szCs w:val="24"/>
        </w:rPr>
        <w:t>RE</w:t>
      </w:r>
    </w:p>
    <w:p w14:paraId="7CE53AA5" w14:textId="77777777" w:rsidR="00A41FD6" w:rsidRDefault="00A41FD6" w:rsidP="00A41FD6">
      <w:pPr>
        <w:pStyle w:val="Listenabsatz"/>
        <w:numPr>
          <w:ilvl w:val="1"/>
          <w:numId w:val="2"/>
        </w:numPr>
        <w:spacing w:line="312" w:lineRule="auto"/>
        <w:rPr>
          <w:rFonts w:ascii="Arial" w:hAnsi="Arial" w:cs="Arial"/>
          <w:sz w:val="24"/>
          <w:szCs w:val="24"/>
        </w:rPr>
      </w:pPr>
      <w:r>
        <w:rPr>
          <w:rFonts w:ascii="Arial" w:hAnsi="Arial" w:cs="Arial"/>
          <w:sz w:val="24"/>
          <w:szCs w:val="24"/>
        </w:rPr>
        <w:t xml:space="preserve">Erteilung einer Rechtskraftbescheinigung auf einem Beschluss </w:t>
      </w:r>
      <w:r w:rsidRPr="00D566CD">
        <w:rPr>
          <w:rFonts w:ascii="Arial" w:hAnsi="Arial" w:cs="Arial"/>
          <w:sz w:val="24"/>
          <w:szCs w:val="24"/>
        </w:rPr>
        <w:sym w:font="Wingdings" w:char="F0E0"/>
      </w:r>
      <w:r>
        <w:rPr>
          <w:rFonts w:ascii="Arial" w:hAnsi="Arial" w:cs="Arial"/>
          <w:sz w:val="24"/>
          <w:szCs w:val="24"/>
        </w:rPr>
        <w:t xml:space="preserve"> </w:t>
      </w:r>
      <w:proofErr w:type="spellStart"/>
      <w:r w:rsidRPr="00D566CD">
        <w:rPr>
          <w:rFonts w:ascii="Arial" w:hAnsi="Arial" w:cs="Arial"/>
          <w:color w:val="275317" w:themeColor="accent6" w:themeShade="80"/>
          <w:sz w:val="24"/>
          <w:szCs w:val="24"/>
        </w:rPr>
        <w:t>UdG</w:t>
      </w:r>
      <w:proofErr w:type="spellEnd"/>
      <w:r>
        <w:rPr>
          <w:rFonts w:ascii="Arial" w:hAnsi="Arial" w:cs="Arial"/>
          <w:sz w:val="24"/>
          <w:szCs w:val="24"/>
        </w:rPr>
        <w:br/>
      </w:r>
    </w:p>
    <w:p w14:paraId="0107BA17" w14:textId="77777777" w:rsidR="00A41FD6" w:rsidRDefault="00A41FD6" w:rsidP="00A41FD6">
      <w:pPr>
        <w:pStyle w:val="Listenabsatz"/>
        <w:numPr>
          <w:ilvl w:val="0"/>
          <w:numId w:val="2"/>
        </w:numPr>
        <w:spacing w:line="312" w:lineRule="auto"/>
        <w:rPr>
          <w:rFonts w:ascii="Arial" w:hAnsi="Arial" w:cs="Arial"/>
          <w:sz w:val="24"/>
          <w:szCs w:val="24"/>
        </w:rPr>
      </w:pPr>
      <w:r>
        <w:rPr>
          <w:rFonts w:ascii="Arial" w:hAnsi="Arial" w:cs="Arial"/>
          <w:sz w:val="24"/>
          <w:szCs w:val="24"/>
        </w:rPr>
        <w:lastRenderedPageBreak/>
        <w:t>Tom schenkt Tanja zur Verlobung einen Ring im Wert von 2.000 €. Nach einem Streit löst Tanja die Verlobung auf. Muss Tanja den Ring herausgeben? Begründen Sie unter Nennung der genauen gesetzlichen Bestimmung.</w:t>
      </w:r>
      <w:r>
        <w:rPr>
          <w:rFonts w:ascii="Arial" w:hAnsi="Arial" w:cs="Arial"/>
          <w:sz w:val="24"/>
          <w:szCs w:val="24"/>
        </w:rPr>
        <w:br/>
      </w:r>
      <w:r>
        <w:rPr>
          <w:rFonts w:ascii="Arial" w:hAnsi="Arial" w:cs="Arial"/>
          <w:sz w:val="24"/>
          <w:szCs w:val="24"/>
        </w:rPr>
        <w:br/>
      </w:r>
      <w:r>
        <w:rPr>
          <w:rFonts w:ascii="Arial" w:hAnsi="Arial" w:cs="Arial"/>
          <w:sz w:val="24"/>
          <w:szCs w:val="24"/>
        </w:rPr>
        <w:br/>
      </w:r>
      <w:r w:rsidRPr="00D566CD">
        <w:rPr>
          <w:rFonts w:ascii="Arial" w:hAnsi="Arial" w:cs="Arial"/>
          <w:color w:val="275317" w:themeColor="accent6" w:themeShade="80"/>
          <w:sz w:val="24"/>
          <w:szCs w:val="24"/>
        </w:rPr>
        <w:t>Ja, Tanja muss den Ring herausgeben</w:t>
      </w:r>
      <w:r w:rsidRPr="00D566CD">
        <w:rPr>
          <w:rFonts w:ascii="Arial" w:hAnsi="Arial" w:cs="Arial"/>
          <w:color w:val="275317" w:themeColor="accent6" w:themeShade="80"/>
          <w:sz w:val="24"/>
          <w:szCs w:val="24"/>
        </w:rPr>
        <w:br/>
        <w:t>Unterbleibt die Eheschließung, so kann jeder Verlobte von dem anderen die Herausgabe desjenigen verlangen, was er ihm als Zeichen des Verlöbnisses geschenkt hat. Die Rückforderung bestimmt sich nach den Vorschriften über die ungerechtfertigte Bereicherung. Gesetzliche Grundlage: § 1301 S. 1 BGB</w:t>
      </w:r>
      <w:r>
        <w:rPr>
          <w:rFonts w:ascii="Arial" w:hAnsi="Arial" w:cs="Arial"/>
          <w:sz w:val="24"/>
          <w:szCs w:val="24"/>
        </w:rPr>
        <w:br/>
      </w:r>
    </w:p>
    <w:p w14:paraId="207AC3D2" w14:textId="77777777" w:rsidR="00A41FD6" w:rsidRDefault="00A41FD6" w:rsidP="00A41FD6">
      <w:pPr>
        <w:pStyle w:val="Listenabsatz"/>
        <w:numPr>
          <w:ilvl w:val="0"/>
          <w:numId w:val="2"/>
        </w:numPr>
        <w:spacing w:line="312" w:lineRule="auto"/>
        <w:rPr>
          <w:rFonts w:ascii="Arial" w:hAnsi="Arial" w:cs="Arial"/>
          <w:sz w:val="24"/>
          <w:szCs w:val="24"/>
        </w:rPr>
      </w:pPr>
      <w:r>
        <w:rPr>
          <w:rFonts w:ascii="Arial" w:hAnsi="Arial" w:cs="Arial"/>
          <w:sz w:val="24"/>
          <w:szCs w:val="24"/>
        </w:rPr>
        <w:t>Um welches Verfahren handelt es sich beim Familiengericht? Geben Sie die gesetzliche Bestimmung an.</w:t>
      </w:r>
      <w:r>
        <w:rPr>
          <w:rFonts w:ascii="Arial" w:hAnsi="Arial" w:cs="Arial"/>
          <w:sz w:val="24"/>
          <w:szCs w:val="24"/>
        </w:rPr>
        <w:br/>
      </w:r>
      <w:r>
        <w:rPr>
          <w:rFonts w:ascii="Arial" w:hAnsi="Arial" w:cs="Arial"/>
          <w:sz w:val="24"/>
          <w:szCs w:val="24"/>
        </w:rPr>
        <w:br/>
      </w:r>
      <w:r w:rsidRPr="00D566CD">
        <w:rPr>
          <w:rFonts w:ascii="Arial" w:hAnsi="Arial" w:cs="Arial"/>
          <w:color w:val="275317" w:themeColor="accent6" w:themeShade="80"/>
          <w:sz w:val="24"/>
          <w:szCs w:val="24"/>
        </w:rPr>
        <w:t xml:space="preserve">Familienstreitsache § 112 Nr. 3 </w:t>
      </w:r>
      <w:proofErr w:type="spellStart"/>
      <w:r w:rsidRPr="00D566CD">
        <w:rPr>
          <w:rFonts w:ascii="Arial" w:hAnsi="Arial" w:cs="Arial"/>
          <w:color w:val="275317" w:themeColor="accent6" w:themeShade="80"/>
          <w:sz w:val="24"/>
          <w:szCs w:val="24"/>
        </w:rPr>
        <w:t>FamFG</w:t>
      </w:r>
      <w:proofErr w:type="spellEnd"/>
      <w:r w:rsidRPr="00D566CD">
        <w:rPr>
          <w:rFonts w:ascii="Arial" w:hAnsi="Arial" w:cs="Arial"/>
          <w:color w:val="275317" w:themeColor="accent6" w:themeShade="80"/>
          <w:sz w:val="24"/>
          <w:szCs w:val="24"/>
        </w:rPr>
        <w:br/>
        <w:t xml:space="preserve">sonstige Familiensache § 266 Abs. 1 Nr. 1 </w:t>
      </w:r>
      <w:proofErr w:type="spellStart"/>
      <w:r w:rsidRPr="00D566CD">
        <w:rPr>
          <w:rFonts w:ascii="Arial" w:hAnsi="Arial" w:cs="Arial"/>
          <w:color w:val="275317" w:themeColor="accent6" w:themeShade="80"/>
          <w:sz w:val="24"/>
          <w:szCs w:val="24"/>
        </w:rPr>
        <w:t>FamFG</w:t>
      </w:r>
      <w:proofErr w:type="spellEnd"/>
      <w:r>
        <w:rPr>
          <w:rFonts w:ascii="Arial" w:hAnsi="Arial" w:cs="Arial"/>
          <w:sz w:val="24"/>
          <w:szCs w:val="24"/>
        </w:rPr>
        <w:br/>
      </w:r>
    </w:p>
    <w:p w14:paraId="20B7235D" w14:textId="77777777" w:rsidR="00A41FD6" w:rsidRDefault="00A41FD6" w:rsidP="00A41FD6">
      <w:pPr>
        <w:pStyle w:val="Listenabsatz"/>
        <w:numPr>
          <w:ilvl w:val="0"/>
          <w:numId w:val="2"/>
        </w:numPr>
        <w:spacing w:line="312" w:lineRule="auto"/>
        <w:rPr>
          <w:rFonts w:ascii="Arial" w:hAnsi="Arial" w:cs="Arial"/>
          <w:sz w:val="24"/>
          <w:szCs w:val="24"/>
        </w:rPr>
      </w:pPr>
      <w:r>
        <w:rPr>
          <w:rFonts w:ascii="Arial" w:hAnsi="Arial" w:cs="Arial"/>
          <w:sz w:val="24"/>
          <w:szCs w:val="24"/>
        </w:rPr>
        <w:t xml:space="preserve">Warum darf ein Scheidungsantrag der Antragsgegnerseite nicht einfach nach </w:t>
      </w:r>
      <w:r>
        <w:rPr>
          <w:rFonts w:ascii="Arial" w:hAnsi="Arial" w:cs="Arial"/>
          <w:sz w:val="24"/>
          <w:szCs w:val="24"/>
        </w:rPr>
        <w:br/>
        <w:t xml:space="preserve">§ 15 II </w:t>
      </w:r>
      <w:proofErr w:type="spellStart"/>
      <w:r>
        <w:rPr>
          <w:rFonts w:ascii="Arial" w:hAnsi="Arial" w:cs="Arial"/>
          <w:sz w:val="24"/>
          <w:szCs w:val="24"/>
        </w:rPr>
        <w:t>FamFG</w:t>
      </w:r>
      <w:proofErr w:type="spellEnd"/>
      <w:r>
        <w:rPr>
          <w:rFonts w:ascii="Arial" w:hAnsi="Arial" w:cs="Arial"/>
          <w:sz w:val="24"/>
          <w:szCs w:val="24"/>
        </w:rPr>
        <w:t xml:space="preserve"> durch die Geschäftsstelle bekannt gegeben werden? Nennen Sie auch die einschlägigen Vorschriften zur korrekten Zustellungsform.</w:t>
      </w:r>
      <w:r>
        <w:rPr>
          <w:rFonts w:ascii="Arial" w:hAnsi="Arial" w:cs="Arial"/>
          <w:sz w:val="24"/>
          <w:szCs w:val="24"/>
        </w:rPr>
        <w:br/>
      </w:r>
      <w:r>
        <w:rPr>
          <w:rFonts w:ascii="Arial" w:hAnsi="Arial" w:cs="Arial"/>
          <w:sz w:val="24"/>
          <w:szCs w:val="24"/>
        </w:rPr>
        <w:br/>
      </w:r>
      <w:r w:rsidRPr="004F20E1">
        <w:rPr>
          <w:rFonts w:ascii="Arial" w:hAnsi="Arial" w:cs="Arial"/>
          <w:color w:val="275317" w:themeColor="accent6" w:themeShade="80"/>
          <w:sz w:val="24"/>
          <w:szCs w:val="24"/>
        </w:rPr>
        <w:t xml:space="preserve">§ 15 </w:t>
      </w:r>
      <w:proofErr w:type="spellStart"/>
      <w:r w:rsidRPr="004F20E1">
        <w:rPr>
          <w:rFonts w:ascii="Arial" w:hAnsi="Arial" w:cs="Arial"/>
          <w:color w:val="275317" w:themeColor="accent6" w:themeShade="80"/>
          <w:sz w:val="24"/>
          <w:szCs w:val="24"/>
        </w:rPr>
        <w:t>FamFG</w:t>
      </w:r>
      <w:proofErr w:type="spellEnd"/>
      <w:r w:rsidRPr="004F20E1">
        <w:rPr>
          <w:rFonts w:ascii="Arial" w:hAnsi="Arial" w:cs="Arial"/>
          <w:color w:val="275317" w:themeColor="accent6" w:themeShade="80"/>
          <w:sz w:val="24"/>
          <w:szCs w:val="24"/>
        </w:rPr>
        <w:t xml:space="preserve"> ist in Ehesachen und Familienstreitsachen ausgeschlossen § 113 Abs. 1 </w:t>
      </w:r>
      <w:proofErr w:type="spellStart"/>
      <w:r w:rsidRPr="004F20E1">
        <w:rPr>
          <w:rFonts w:ascii="Arial" w:hAnsi="Arial" w:cs="Arial"/>
          <w:color w:val="275317" w:themeColor="accent6" w:themeShade="80"/>
          <w:sz w:val="24"/>
          <w:szCs w:val="24"/>
        </w:rPr>
        <w:t>FamFG</w:t>
      </w:r>
      <w:proofErr w:type="spellEnd"/>
      <w:r w:rsidRPr="004F20E1">
        <w:rPr>
          <w:rFonts w:ascii="Arial" w:hAnsi="Arial" w:cs="Arial"/>
          <w:color w:val="275317" w:themeColor="accent6" w:themeShade="80"/>
          <w:sz w:val="24"/>
          <w:szCs w:val="24"/>
        </w:rPr>
        <w:t xml:space="preserve">. Es gelten die strengen Vorschriften der ZPO entsprechend. Der Scheidungsantrag muss der Gegenseite förmlich bekanntgegeben werden (ZU) § 113 Abs. 1 </w:t>
      </w:r>
      <w:proofErr w:type="spellStart"/>
      <w:r w:rsidRPr="004F20E1">
        <w:rPr>
          <w:rFonts w:ascii="Arial" w:hAnsi="Arial" w:cs="Arial"/>
          <w:color w:val="275317" w:themeColor="accent6" w:themeShade="80"/>
          <w:sz w:val="24"/>
          <w:szCs w:val="24"/>
        </w:rPr>
        <w:t>FamFG</w:t>
      </w:r>
      <w:proofErr w:type="spellEnd"/>
      <w:r w:rsidRPr="004F20E1">
        <w:rPr>
          <w:rFonts w:ascii="Arial" w:hAnsi="Arial" w:cs="Arial"/>
          <w:color w:val="275317" w:themeColor="accent6" w:themeShade="80"/>
          <w:sz w:val="24"/>
          <w:szCs w:val="24"/>
        </w:rPr>
        <w:t xml:space="preserve"> </w:t>
      </w:r>
      <w:proofErr w:type="spellStart"/>
      <w:r w:rsidRPr="004F20E1">
        <w:rPr>
          <w:rFonts w:ascii="Arial" w:hAnsi="Arial" w:cs="Arial"/>
          <w:color w:val="275317" w:themeColor="accent6" w:themeShade="80"/>
          <w:sz w:val="24"/>
          <w:szCs w:val="24"/>
        </w:rPr>
        <w:t>i.v.m</w:t>
      </w:r>
      <w:proofErr w:type="spellEnd"/>
      <w:r w:rsidRPr="004F20E1">
        <w:rPr>
          <w:rFonts w:ascii="Arial" w:hAnsi="Arial" w:cs="Arial"/>
          <w:color w:val="275317" w:themeColor="accent6" w:themeShade="80"/>
          <w:sz w:val="24"/>
          <w:szCs w:val="24"/>
        </w:rPr>
        <w:t>. § 253 Abs 1 ZPO</w:t>
      </w:r>
      <w:r>
        <w:rPr>
          <w:rFonts w:ascii="Arial" w:hAnsi="Arial" w:cs="Arial"/>
          <w:sz w:val="24"/>
          <w:szCs w:val="24"/>
        </w:rPr>
        <w:br/>
      </w:r>
    </w:p>
    <w:p w14:paraId="2CD45E1F" w14:textId="77777777" w:rsidR="00A41FD6" w:rsidRDefault="00A41FD6" w:rsidP="00A41FD6">
      <w:pPr>
        <w:pStyle w:val="Listenabsatz"/>
        <w:numPr>
          <w:ilvl w:val="0"/>
          <w:numId w:val="2"/>
        </w:numPr>
        <w:spacing w:line="312" w:lineRule="auto"/>
        <w:rPr>
          <w:rFonts w:ascii="Arial" w:hAnsi="Arial" w:cs="Arial"/>
          <w:sz w:val="24"/>
          <w:szCs w:val="24"/>
        </w:rPr>
      </w:pPr>
      <w:r>
        <w:rPr>
          <w:rFonts w:ascii="Arial" w:hAnsi="Arial" w:cs="Arial"/>
          <w:sz w:val="24"/>
          <w:szCs w:val="24"/>
        </w:rPr>
        <w:t xml:space="preserve">Erklären Sie das Prinzip des „Scheidungsverbunds“ (Verbundverfahren) nach § 137 </w:t>
      </w:r>
      <w:proofErr w:type="spellStart"/>
      <w:r>
        <w:rPr>
          <w:rFonts w:ascii="Arial" w:hAnsi="Arial" w:cs="Arial"/>
          <w:sz w:val="24"/>
          <w:szCs w:val="24"/>
        </w:rPr>
        <w:t>FamFG</w:t>
      </w:r>
      <w:proofErr w:type="spellEnd"/>
      <w:r>
        <w:rPr>
          <w:rFonts w:ascii="Arial" w:hAnsi="Arial" w:cs="Arial"/>
          <w:sz w:val="24"/>
          <w:szCs w:val="24"/>
        </w:rPr>
        <w:t>. Welche Folgesache nimmt hierbei eine verfahrensrechtliche Sonderstellung ein, weil sie zwingend von Amts wegen durchgeführt wird?</w:t>
      </w:r>
      <w:r>
        <w:rPr>
          <w:rFonts w:ascii="Arial" w:hAnsi="Arial" w:cs="Arial"/>
          <w:sz w:val="24"/>
          <w:szCs w:val="24"/>
        </w:rPr>
        <w:br/>
      </w:r>
      <w:r>
        <w:rPr>
          <w:rFonts w:ascii="Arial" w:hAnsi="Arial" w:cs="Arial"/>
          <w:sz w:val="24"/>
          <w:szCs w:val="24"/>
        </w:rPr>
        <w:br/>
      </w:r>
      <w:r w:rsidRPr="004F20E1">
        <w:rPr>
          <w:rFonts w:ascii="Arial" w:hAnsi="Arial" w:cs="Arial"/>
          <w:color w:val="275317" w:themeColor="accent6" w:themeShade="80"/>
          <w:sz w:val="24"/>
          <w:szCs w:val="24"/>
        </w:rPr>
        <w:t xml:space="preserve">Scheidungsverbund besagt, dass die Scheidung und die damit im Zusammenhang stehenden Folgesachen gleichzeitig verhandelt und einheitlich entschieden werden sollen. die Folgesache, die als einzige zwingend von Amtswegen (ohne gesonderten Antrag) durchgeführt werden muss, ist der Versorgungsausgleich </w:t>
      </w:r>
      <w:r>
        <w:rPr>
          <w:rFonts w:ascii="Arial" w:hAnsi="Arial" w:cs="Arial"/>
          <w:sz w:val="24"/>
          <w:szCs w:val="24"/>
        </w:rPr>
        <w:br/>
      </w:r>
    </w:p>
    <w:p w14:paraId="6A2B9759" w14:textId="77777777" w:rsidR="00A41FD6" w:rsidRPr="004F20E1" w:rsidRDefault="00A41FD6" w:rsidP="00A41FD6">
      <w:pPr>
        <w:pStyle w:val="Listenabsatz"/>
        <w:numPr>
          <w:ilvl w:val="0"/>
          <w:numId w:val="2"/>
        </w:numPr>
        <w:spacing w:line="312" w:lineRule="auto"/>
        <w:rPr>
          <w:rFonts w:ascii="Arial" w:hAnsi="Arial" w:cs="Arial"/>
          <w:sz w:val="24"/>
          <w:szCs w:val="24"/>
        </w:rPr>
      </w:pPr>
      <w:r>
        <w:rPr>
          <w:rFonts w:ascii="Arial" w:hAnsi="Arial" w:cs="Arial"/>
          <w:i/>
          <w:sz w:val="24"/>
          <w:szCs w:val="24"/>
        </w:rPr>
        <w:t xml:space="preserve">Berechnen Sie die Ehezeit gem. § 3 I </w:t>
      </w:r>
      <w:proofErr w:type="spellStart"/>
      <w:r>
        <w:rPr>
          <w:rFonts w:ascii="Arial" w:hAnsi="Arial" w:cs="Arial"/>
          <w:i/>
          <w:sz w:val="24"/>
          <w:szCs w:val="24"/>
        </w:rPr>
        <w:t>VersAusglG</w:t>
      </w:r>
      <w:proofErr w:type="spellEnd"/>
      <w:r>
        <w:rPr>
          <w:rFonts w:ascii="Arial" w:hAnsi="Arial" w:cs="Arial"/>
          <w:i/>
          <w:sz w:val="24"/>
          <w:szCs w:val="24"/>
        </w:rPr>
        <w:t xml:space="preserve"> für folgendes Szenario: Die Ehegatten haben am 14.02.2018 geheiratet. Der ordnungsgemäße Scheidungsantrag wurde der Antragsgegnerin am 13.05.2026 zugestellt. Geben Sie den genauen Beginn und das genaue Ende an.</w:t>
      </w:r>
    </w:p>
    <w:p w14:paraId="255A2FDA" w14:textId="77777777" w:rsidR="00A41FD6" w:rsidRDefault="00A41FD6" w:rsidP="00A41FD6">
      <w:pPr>
        <w:pStyle w:val="Listenabsatz"/>
        <w:spacing w:line="312" w:lineRule="auto"/>
        <w:ind w:left="360"/>
        <w:rPr>
          <w:rFonts w:ascii="Arial" w:hAnsi="Arial" w:cs="Arial"/>
          <w:i/>
          <w:sz w:val="24"/>
          <w:szCs w:val="24"/>
        </w:rPr>
      </w:pPr>
    </w:p>
    <w:p w14:paraId="0FEA7964" w14:textId="77777777" w:rsidR="00A41FD6" w:rsidRDefault="00A41FD6" w:rsidP="00A41FD6">
      <w:pPr>
        <w:pStyle w:val="Listenabsatz"/>
        <w:spacing w:line="312" w:lineRule="auto"/>
        <w:ind w:left="360"/>
        <w:rPr>
          <w:rFonts w:ascii="Arial" w:hAnsi="Arial" w:cs="Arial"/>
          <w:i/>
          <w:sz w:val="24"/>
          <w:szCs w:val="24"/>
        </w:rPr>
      </w:pPr>
      <w:r>
        <w:rPr>
          <w:rFonts w:ascii="Arial" w:hAnsi="Arial" w:cs="Arial"/>
          <w:i/>
          <w:sz w:val="24"/>
          <w:szCs w:val="24"/>
        </w:rPr>
        <w:t xml:space="preserve">Beginn: </w:t>
      </w:r>
      <w:r>
        <w:rPr>
          <w:rFonts w:ascii="Arial" w:hAnsi="Arial" w:cs="Arial"/>
          <w:i/>
          <w:sz w:val="24"/>
          <w:szCs w:val="24"/>
        </w:rPr>
        <w:tab/>
        <w:t>01.02.2018</w:t>
      </w:r>
    </w:p>
    <w:p w14:paraId="313FB7D6" w14:textId="77777777" w:rsidR="00A41FD6" w:rsidRPr="007C3ED5" w:rsidRDefault="00A41FD6" w:rsidP="00A41FD6">
      <w:pPr>
        <w:pStyle w:val="Listenabsatz"/>
        <w:spacing w:line="312" w:lineRule="auto"/>
        <w:ind w:left="360"/>
        <w:rPr>
          <w:rFonts w:ascii="Arial" w:hAnsi="Arial" w:cs="Arial"/>
          <w:sz w:val="24"/>
          <w:szCs w:val="24"/>
        </w:rPr>
      </w:pPr>
      <w:r>
        <w:rPr>
          <w:rFonts w:ascii="Arial" w:hAnsi="Arial" w:cs="Arial"/>
          <w:i/>
          <w:sz w:val="24"/>
          <w:szCs w:val="24"/>
        </w:rPr>
        <w:t xml:space="preserve">Ende: </w:t>
      </w:r>
      <w:r>
        <w:rPr>
          <w:rFonts w:ascii="Arial" w:hAnsi="Arial" w:cs="Arial"/>
          <w:i/>
          <w:sz w:val="24"/>
          <w:szCs w:val="24"/>
        </w:rPr>
        <w:tab/>
        <w:t>30.04.2026</w:t>
      </w:r>
      <w:r>
        <w:rPr>
          <w:rFonts w:ascii="Arial" w:hAnsi="Arial" w:cs="Arial"/>
          <w:i/>
          <w:sz w:val="24"/>
          <w:szCs w:val="24"/>
        </w:rPr>
        <w:br/>
      </w:r>
    </w:p>
    <w:p w14:paraId="747C63A8" w14:textId="77777777" w:rsidR="00A41FD6" w:rsidRDefault="00A41FD6" w:rsidP="00A41FD6">
      <w:pPr>
        <w:pStyle w:val="Listenabsatz"/>
        <w:numPr>
          <w:ilvl w:val="0"/>
          <w:numId w:val="2"/>
        </w:numPr>
        <w:spacing w:line="312" w:lineRule="auto"/>
        <w:rPr>
          <w:rFonts w:ascii="Arial" w:hAnsi="Arial" w:cs="Arial"/>
          <w:sz w:val="24"/>
          <w:szCs w:val="24"/>
        </w:rPr>
      </w:pPr>
      <w:r>
        <w:rPr>
          <w:rFonts w:ascii="Arial" w:hAnsi="Arial" w:cs="Arial"/>
          <w:sz w:val="24"/>
          <w:szCs w:val="24"/>
        </w:rPr>
        <w:t xml:space="preserve"> Ein Ehegatte reicht nach Ablauf des Trennungsjahres die Scheidung ein. Der andere Ehegatte widerspricht der Scheidung im Termin vehement, da er die Ehe retten will. Kann sich der Antragsteller hier auf eine gesetzliche Vermutung des Scheitern nach § 1566 BGB stützen? Begründen Sie kurz</w:t>
      </w:r>
    </w:p>
    <w:p w14:paraId="630818D8" w14:textId="77777777" w:rsidR="00A41FD6" w:rsidRPr="00E93F88" w:rsidRDefault="00A41FD6" w:rsidP="00A41FD6">
      <w:pPr>
        <w:spacing w:line="312" w:lineRule="auto"/>
        <w:ind w:left="360"/>
        <w:rPr>
          <w:rFonts w:ascii="Arial" w:hAnsi="Arial" w:cs="Arial"/>
          <w:color w:val="275317" w:themeColor="accent6" w:themeShade="80"/>
          <w:sz w:val="24"/>
          <w:szCs w:val="24"/>
        </w:rPr>
      </w:pPr>
      <w:r w:rsidRPr="00E93F88">
        <w:rPr>
          <w:rFonts w:ascii="Arial" w:hAnsi="Arial" w:cs="Arial"/>
          <w:color w:val="275317" w:themeColor="accent6" w:themeShade="80"/>
          <w:sz w:val="24"/>
          <w:szCs w:val="24"/>
        </w:rPr>
        <w:t xml:space="preserve">Nein Er kann sich hier nicht auf die Vermutungsregelungen stützen. Die einjährige Trennungsfrist nach § 1566 Abs. 1 BGB setzt die unwiderlegbare Vermutung nur frei, wenn beide Ehegatten die Scheidung beantragen oder der Antragsgegner zustimmt. Da die </w:t>
      </w:r>
      <w:proofErr w:type="spellStart"/>
      <w:r w:rsidRPr="00E93F88">
        <w:rPr>
          <w:rFonts w:ascii="Arial" w:hAnsi="Arial" w:cs="Arial"/>
          <w:color w:val="275317" w:themeColor="accent6" w:themeShade="80"/>
          <w:sz w:val="24"/>
          <w:szCs w:val="24"/>
        </w:rPr>
        <w:t>Agg’in</w:t>
      </w:r>
      <w:proofErr w:type="spellEnd"/>
      <w:r w:rsidRPr="00E93F88">
        <w:rPr>
          <w:rFonts w:ascii="Arial" w:hAnsi="Arial" w:cs="Arial"/>
          <w:color w:val="275317" w:themeColor="accent6" w:themeShade="80"/>
          <w:sz w:val="24"/>
          <w:szCs w:val="24"/>
        </w:rPr>
        <w:t xml:space="preserve"> widerspricht, entfällt dies. Die dreijährige Trennungsfrist nach § 1566 II BGB (Scheidung auch gegen den Willen vermutet) ist zeitlich noch nicht erfüllt. Das Scheitern der Ehe muss bewiesen werden!</w:t>
      </w:r>
    </w:p>
    <w:p w14:paraId="48ADF733" w14:textId="77777777" w:rsidR="00A41FD6" w:rsidRPr="00193F48" w:rsidRDefault="00A41FD6" w:rsidP="00A41FD6">
      <w:pPr>
        <w:spacing w:line="312" w:lineRule="auto"/>
        <w:ind w:left="360"/>
        <w:rPr>
          <w:rFonts w:ascii="Arial" w:hAnsi="Arial" w:cs="Arial"/>
          <w:i/>
          <w:iCs/>
          <w:color w:val="275317" w:themeColor="accent6" w:themeShade="80"/>
          <w:sz w:val="24"/>
          <w:szCs w:val="24"/>
        </w:rPr>
      </w:pPr>
      <w:r w:rsidRPr="00193F48">
        <w:rPr>
          <w:rFonts w:ascii="Arial" w:hAnsi="Arial" w:cs="Arial"/>
          <w:i/>
          <w:iCs/>
          <w:color w:val="275317" w:themeColor="accent6" w:themeShade="80"/>
          <w:sz w:val="24"/>
          <w:szCs w:val="24"/>
        </w:rPr>
        <w:t xml:space="preserve">Wann ist eine Ehe gescheitert. </w:t>
      </w:r>
      <w:r w:rsidRPr="00193F48">
        <w:rPr>
          <w:rFonts w:ascii="Arial" w:hAnsi="Arial" w:cs="Arial"/>
          <w:i/>
          <w:iCs/>
          <w:color w:val="275317" w:themeColor="accent6" w:themeShade="80"/>
          <w:sz w:val="24"/>
          <w:szCs w:val="24"/>
        </w:rPr>
        <w:br/>
        <w:t xml:space="preserve">§ 1565 Abs. 1 BGB, eine Ehe kann nur geschieden werden, wenn sie gescheitert ist. Das ist der Fall wenn die Lebensgemeinschaft der Ehegatten nicht mehr besteht und nicht erwartet werden kann, dass die Ehegatte sie wiederherstellen </w:t>
      </w:r>
    </w:p>
    <w:p w14:paraId="54F14C79" w14:textId="77777777" w:rsidR="00A41FD6" w:rsidRPr="005A0376" w:rsidRDefault="00A41FD6" w:rsidP="00A41FD6">
      <w:pPr>
        <w:spacing w:line="312" w:lineRule="auto"/>
        <w:rPr>
          <w:rFonts w:ascii="Arial" w:hAnsi="Arial" w:cs="Arial"/>
          <w:sz w:val="24"/>
          <w:szCs w:val="24"/>
        </w:rPr>
      </w:pPr>
    </w:p>
    <w:p w14:paraId="69D866A9" w14:textId="77777777" w:rsidR="005A0376" w:rsidRPr="0092493C" w:rsidRDefault="005A0376" w:rsidP="0092493C">
      <w:pPr>
        <w:spacing w:line="312" w:lineRule="auto"/>
        <w:rPr>
          <w:rFonts w:ascii="Arial" w:hAnsi="Arial" w:cs="Arial"/>
          <w:sz w:val="24"/>
          <w:szCs w:val="24"/>
        </w:rPr>
      </w:pPr>
    </w:p>
    <w:sectPr w:rsidR="005A0376" w:rsidRPr="0092493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C654E3"/>
    <w:multiLevelType w:val="hybridMultilevel"/>
    <w:tmpl w:val="4F6E81F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52275716"/>
    <w:multiLevelType w:val="hybridMultilevel"/>
    <w:tmpl w:val="4F6E81FA"/>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6DB16EE8"/>
    <w:multiLevelType w:val="hybridMultilevel"/>
    <w:tmpl w:val="9B7C956A"/>
    <w:lvl w:ilvl="0" w:tplc="FFFFFFFF">
      <w:start w:val="1"/>
      <w:numFmt w:val="decimal"/>
      <w:lvlText w:val="%1."/>
      <w:lvlJc w:val="left"/>
      <w:pPr>
        <w:ind w:left="720" w:hanging="360"/>
      </w:pPr>
      <w:rPr>
        <w:rFonts w:hint="default"/>
        <w:color w:val="auto"/>
        <w:vertAlign w:val="baseline"/>
      </w:rPr>
    </w:lvl>
    <w:lvl w:ilvl="1" w:tplc="FFFFFFFF">
      <w:start w:val="1"/>
      <w:numFmt w:val="lowerLetter"/>
      <w:lvlText w:val="%2."/>
      <w:lvlJc w:val="left"/>
      <w:pPr>
        <w:ind w:left="1440" w:hanging="360"/>
      </w:pPr>
      <w:rPr>
        <w:color w:val="000000" w:themeColor="text1"/>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71142913">
    <w:abstractNumId w:val="1"/>
  </w:num>
  <w:num w:numId="2" w16cid:durableId="1061291492">
    <w:abstractNumId w:val="0"/>
  </w:num>
  <w:num w:numId="3" w16cid:durableId="20853699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ED5"/>
    <w:rsid w:val="00051847"/>
    <w:rsid w:val="000C6FA1"/>
    <w:rsid w:val="00193F48"/>
    <w:rsid w:val="00222A24"/>
    <w:rsid w:val="002A0B26"/>
    <w:rsid w:val="00333B7F"/>
    <w:rsid w:val="004C0099"/>
    <w:rsid w:val="004F20E1"/>
    <w:rsid w:val="005A0376"/>
    <w:rsid w:val="005C0ED4"/>
    <w:rsid w:val="00743E21"/>
    <w:rsid w:val="007C3ED5"/>
    <w:rsid w:val="00897A39"/>
    <w:rsid w:val="0092493C"/>
    <w:rsid w:val="009D5BD9"/>
    <w:rsid w:val="00A41FD6"/>
    <w:rsid w:val="00C8743A"/>
    <w:rsid w:val="00CC30E5"/>
    <w:rsid w:val="00D566CD"/>
    <w:rsid w:val="00D739B2"/>
    <w:rsid w:val="00D775BB"/>
    <w:rsid w:val="00DA0509"/>
    <w:rsid w:val="00E42CE5"/>
    <w:rsid w:val="00E93F88"/>
    <w:rsid w:val="00FE6C5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D24EC"/>
  <w15:chartTrackingRefBased/>
  <w15:docId w15:val="{7D9F3E80-930E-4A34-8FDF-4961A707D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C3E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C3E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C3ED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C3ED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C3ED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C3ED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C3ED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C3ED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C3ED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C3ED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C3ED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C3ED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C3ED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C3ED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C3ED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C3ED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C3ED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C3ED5"/>
    <w:rPr>
      <w:rFonts w:eastAsiaTheme="majorEastAsia" w:cstheme="majorBidi"/>
      <w:color w:val="272727" w:themeColor="text1" w:themeTint="D8"/>
    </w:rPr>
  </w:style>
  <w:style w:type="paragraph" w:styleId="Titel">
    <w:name w:val="Title"/>
    <w:basedOn w:val="Standard"/>
    <w:next w:val="Standard"/>
    <w:link w:val="TitelZchn"/>
    <w:uiPriority w:val="10"/>
    <w:qFormat/>
    <w:rsid w:val="007C3E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C3ED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C3ED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C3ED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C3ED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C3ED5"/>
    <w:rPr>
      <w:i/>
      <w:iCs/>
      <w:color w:val="404040" w:themeColor="text1" w:themeTint="BF"/>
    </w:rPr>
  </w:style>
  <w:style w:type="paragraph" w:styleId="Listenabsatz">
    <w:name w:val="List Paragraph"/>
    <w:basedOn w:val="Standard"/>
    <w:uiPriority w:val="34"/>
    <w:qFormat/>
    <w:rsid w:val="007C3ED5"/>
    <w:pPr>
      <w:ind w:left="720"/>
      <w:contextualSpacing/>
    </w:pPr>
  </w:style>
  <w:style w:type="character" w:styleId="IntensiveHervorhebung">
    <w:name w:val="Intense Emphasis"/>
    <w:basedOn w:val="Absatz-Standardschriftart"/>
    <w:uiPriority w:val="21"/>
    <w:qFormat/>
    <w:rsid w:val="007C3ED5"/>
    <w:rPr>
      <w:i/>
      <w:iCs/>
      <w:color w:val="0F4761" w:themeColor="accent1" w:themeShade="BF"/>
    </w:rPr>
  </w:style>
  <w:style w:type="paragraph" w:styleId="IntensivesZitat">
    <w:name w:val="Intense Quote"/>
    <w:basedOn w:val="Standard"/>
    <w:next w:val="Standard"/>
    <w:link w:val="IntensivesZitatZchn"/>
    <w:uiPriority w:val="30"/>
    <w:qFormat/>
    <w:rsid w:val="007C3E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C3ED5"/>
    <w:rPr>
      <w:i/>
      <w:iCs/>
      <w:color w:val="0F4761" w:themeColor="accent1" w:themeShade="BF"/>
    </w:rPr>
  </w:style>
  <w:style w:type="character" w:styleId="IntensiverVerweis">
    <w:name w:val="Intense Reference"/>
    <w:basedOn w:val="Absatz-Standardschriftart"/>
    <w:uiPriority w:val="32"/>
    <w:qFormat/>
    <w:rsid w:val="007C3ED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563</Words>
  <Characters>3549</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Schulz, André</dc:creator>
  <cp:keywords/>
  <dc:description/>
  <cp:lastModifiedBy>Carus, Natascha</cp:lastModifiedBy>
  <cp:revision>9</cp:revision>
  <dcterms:created xsi:type="dcterms:W3CDTF">2026-07-06T09:18:00Z</dcterms:created>
  <dcterms:modified xsi:type="dcterms:W3CDTF">2026-07-21T19:13:00Z</dcterms:modified>
</cp:coreProperties>
</file>