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3C9" w:rsidRPr="00EB03C9" w:rsidRDefault="00EB03C9" w:rsidP="00EB03C9">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r w:rsidRPr="00EB03C9">
        <w:rPr>
          <w:rFonts w:ascii="Times New Roman" w:eastAsia="Times New Roman" w:hAnsi="Times New Roman" w:cs="Times New Roman"/>
          <w:b/>
          <w:bCs/>
          <w:kern w:val="36"/>
          <w:sz w:val="48"/>
          <w:szCs w:val="48"/>
          <w:lang w:eastAsia="de-DE"/>
        </w:rPr>
        <w:t>Sicherungshypothek</w:t>
      </w:r>
    </w:p>
    <w:p w:rsidR="00EB03C9" w:rsidRPr="00EB03C9" w:rsidRDefault="00EB03C9" w:rsidP="00EB03C9">
      <w:pPr>
        <w:spacing w:before="100" w:beforeAutospacing="1" w:after="100" w:afterAutospacing="1" w:line="240" w:lineRule="auto"/>
        <w:rPr>
          <w:rFonts w:ascii="Times New Roman" w:eastAsia="Times New Roman" w:hAnsi="Times New Roman" w:cs="Times New Roman"/>
          <w:sz w:val="24"/>
          <w:szCs w:val="24"/>
          <w:lang w:eastAsia="de-DE"/>
        </w:rPr>
      </w:pPr>
      <w:r w:rsidRPr="00EB03C9">
        <w:rPr>
          <w:rFonts w:ascii="Times New Roman" w:eastAsia="Times New Roman" w:hAnsi="Times New Roman" w:cs="Times New Roman"/>
          <w:sz w:val="24"/>
          <w:szCs w:val="24"/>
          <w:lang w:eastAsia="de-DE"/>
        </w:rPr>
        <w:t xml:space="preserve">Die </w:t>
      </w:r>
      <w:r w:rsidRPr="00EB03C9">
        <w:rPr>
          <w:rFonts w:ascii="Times New Roman" w:eastAsia="Times New Roman" w:hAnsi="Times New Roman" w:cs="Times New Roman"/>
          <w:b/>
          <w:bCs/>
          <w:sz w:val="24"/>
          <w:szCs w:val="24"/>
          <w:lang w:eastAsia="de-DE"/>
        </w:rPr>
        <w:t>Sicherungshypothek</w:t>
      </w:r>
      <w:r w:rsidRPr="00EB03C9">
        <w:rPr>
          <w:rFonts w:ascii="Times New Roman" w:eastAsia="Times New Roman" w:hAnsi="Times New Roman" w:cs="Times New Roman"/>
          <w:sz w:val="24"/>
          <w:szCs w:val="24"/>
          <w:lang w:eastAsia="de-DE"/>
        </w:rPr>
        <w:t xml:space="preserve"> ist als Unterart der </w:t>
      </w:r>
      <w:hyperlink r:id="rId5" w:tooltip="Hypothek" w:history="1">
        <w:r w:rsidRPr="00EB03C9">
          <w:rPr>
            <w:rFonts w:ascii="Times New Roman" w:eastAsia="Times New Roman" w:hAnsi="Times New Roman" w:cs="Times New Roman"/>
            <w:color w:val="0000FF"/>
            <w:sz w:val="24"/>
            <w:szCs w:val="24"/>
            <w:u w:val="single"/>
            <w:lang w:eastAsia="de-DE"/>
          </w:rPr>
          <w:t>Hypothek</w:t>
        </w:r>
      </w:hyperlink>
      <w:r w:rsidRPr="00EB03C9">
        <w:rPr>
          <w:rFonts w:ascii="Times New Roman" w:eastAsia="Times New Roman" w:hAnsi="Times New Roman" w:cs="Times New Roman"/>
          <w:sz w:val="24"/>
          <w:szCs w:val="24"/>
          <w:lang w:eastAsia="de-DE"/>
        </w:rPr>
        <w:t xml:space="preserve"> ein </w:t>
      </w:r>
      <w:hyperlink r:id="rId6" w:tooltip="Grundpfandrecht" w:history="1">
        <w:r w:rsidRPr="00EB03C9">
          <w:rPr>
            <w:rFonts w:ascii="Times New Roman" w:eastAsia="Times New Roman" w:hAnsi="Times New Roman" w:cs="Times New Roman"/>
            <w:color w:val="0000FF"/>
            <w:sz w:val="24"/>
            <w:szCs w:val="24"/>
            <w:u w:val="single"/>
            <w:lang w:eastAsia="de-DE"/>
          </w:rPr>
          <w:t>Grundpfandrecht</w:t>
        </w:r>
      </w:hyperlink>
      <w:r w:rsidRPr="00EB03C9">
        <w:rPr>
          <w:rFonts w:ascii="Times New Roman" w:eastAsia="Times New Roman" w:hAnsi="Times New Roman" w:cs="Times New Roman"/>
          <w:sz w:val="24"/>
          <w:szCs w:val="24"/>
          <w:lang w:eastAsia="de-DE"/>
        </w:rPr>
        <w:t xml:space="preserve">, das zur </w:t>
      </w:r>
      <w:hyperlink r:id="rId7" w:tooltip="Kreditsicherheit" w:history="1">
        <w:r w:rsidRPr="00EB03C9">
          <w:rPr>
            <w:rFonts w:ascii="Times New Roman" w:eastAsia="Times New Roman" w:hAnsi="Times New Roman" w:cs="Times New Roman"/>
            <w:color w:val="0000FF"/>
            <w:sz w:val="24"/>
            <w:szCs w:val="24"/>
            <w:u w:val="single"/>
            <w:lang w:eastAsia="de-DE"/>
          </w:rPr>
          <w:t>Sicherung</w:t>
        </w:r>
      </w:hyperlink>
      <w:r w:rsidRPr="00EB03C9">
        <w:rPr>
          <w:rFonts w:ascii="Times New Roman" w:eastAsia="Times New Roman" w:hAnsi="Times New Roman" w:cs="Times New Roman"/>
          <w:sz w:val="24"/>
          <w:szCs w:val="24"/>
          <w:lang w:eastAsia="de-DE"/>
        </w:rPr>
        <w:t xml:space="preserve"> von bestimmten </w:t>
      </w:r>
      <w:hyperlink r:id="rId8" w:tooltip="Forderung" w:history="1">
        <w:r w:rsidRPr="00EB03C9">
          <w:rPr>
            <w:rFonts w:ascii="Times New Roman" w:eastAsia="Times New Roman" w:hAnsi="Times New Roman" w:cs="Times New Roman"/>
            <w:color w:val="0000FF"/>
            <w:sz w:val="24"/>
            <w:szCs w:val="24"/>
            <w:u w:val="single"/>
            <w:lang w:eastAsia="de-DE"/>
          </w:rPr>
          <w:t>Forderungen</w:t>
        </w:r>
      </w:hyperlink>
      <w:r w:rsidRPr="00EB03C9">
        <w:rPr>
          <w:rFonts w:ascii="Times New Roman" w:eastAsia="Times New Roman" w:hAnsi="Times New Roman" w:cs="Times New Roman"/>
          <w:sz w:val="24"/>
          <w:szCs w:val="24"/>
          <w:lang w:eastAsia="de-DE"/>
        </w:rPr>
        <w:t xml:space="preserve"> dient und bei der die </w:t>
      </w:r>
      <w:hyperlink r:id="rId9" w:tooltip="Eintragung" w:history="1">
        <w:r w:rsidRPr="00EB03C9">
          <w:rPr>
            <w:rFonts w:ascii="Times New Roman" w:eastAsia="Times New Roman" w:hAnsi="Times New Roman" w:cs="Times New Roman"/>
            <w:color w:val="0000FF"/>
            <w:sz w:val="24"/>
            <w:szCs w:val="24"/>
            <w:u w:val="single"/>
            <w:lang w:eastAsia="de-DE"/>
          </w:rPr>
          <w:t>Eintragung</w:t>
        </w:r>
      </w:hyperlink>
      <w:r w:rsidRPr="00EB03C9">
        <w:rPr>
          <w:rFonts w:ascii="Times New Roman" w:eastAsia="Times New Roman" w:hAnsi="Times New Roman" w:cs="Times New Roman"/>
          <w:sz w:val="24"/>
          <w:szCs w:val="24"/>
          <w:lang w:eastAsia="de-DE"/>
        </w:rPr>
        <w:t xml:space="preserve"> im </w:t>
      </w:r>
      <w:hyperlink r:id="rId10" w:tooltip="Grundbuch" w:history="1">
        <w:r w:rsidRPr="00EB03C9">
          <w:rPr>
            <w:rFonts w:ascii="Times New Roman" w:eastAsia="Times New Roman" w:hAnsi="Times New Roman" w:cs="Times New Roman"/>
            <w:color w:val="0000FF"/>
            <w:sz w:val="24"/>
            <w:szCs w:val="24"/>
            <w:u w:val="single"/>
            <w:lang w:eastAsia="de-DE"/>
          </w:rPr>
          <w:t>Grundbuch</w:t>
        </w:r>
      </w:hyperlink>
      <w:r w:rsidRPr="00EB03C9">
        <w:rPr>
          <w:rFonts w:ascii="Times New Roman" w:eastAsia="Times New Roman" w:hAnsi="Times New Roman" w:cs="Times New Roman"/>
          <w:sz w:val="24"/>
          <w:szCs w:val="24"/>
          <w:lang w:eastAsia="de-DE"/>
        </w:rPr>
        <w:t xml:space="preserve"> im Hinblick auf die gesicherte Forderung ohne Belang ist. </w:t>
      </w:r>
    </w:p>
    <w:p w:rsidR="00EB03C9" w:rsidRPr="00EB03C9" w:rsidRDefault="00EB03C9" w:rsidP="00EB03C9">
      <w:pPr>
        <w:spacing w:after="0" w:line="240" w:lineRule="auto"/>
        <w:rPr>
          <w:rFonts w:ascii="Times New Roman" w:eastAsia="Times New Roman" w:hAnsi="Times New Roman" w:cs="Times New Roman"/>
          <w:sz w:val="24"/>
          <w:szCs w:val="24"/>
          <w:lang w:eastAsia="de-DE"/>
        </w:rPr>
      </w:pPr>
      <w:r w:rsidRPr="00EB03C9">
        <w:rPr>
          <w:rFonts w:ascii="Times New Roman" w:eastAsia="Times New Roman" w:hAnsi="Times New Roman" w:cs="Times New Roman"/>
          <w:sz w:val="24"/>
          <w:szCs w:val="24"/>
          <w:lang w:eastAsia="de-DE"/>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25pt;height:17.25pt" o:ole="">
            <v:imagedata r:id="rId11" o:title=""/>
          </v:shape>
          <w:control r:id="rId12" w:name="DefaultOcxName" w:shapeid="_x0000_i1027"/>
        </w:object>
      </w:r>
    </w:p>
    <w:p w:rsidR="00EB03C9" w:rsidRPr="00EB03C9" w:rsidRDefault="00EB03C9" w:rsidP="00EB03C9">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EB03C9">
        <w:rPr>
          <w:rFonts w:ascii="Times New Roman" w:eastAsia="Times New Roman" w:hAnsi="Times New Roman" w:cs="Times New Roman"/>
          <w:b/>
          <w:bCs/>
          <w:sz w:val="36"/>
          <w:szCs w:val="36"/>
          <w:lang w:eastAsia="de-DE"/>
        </w:rPr>
        <w:t>Inhaltsverzeichnis</w:t>
      </w:r>
    </w:p>
    <w:p w:rsidR="00EB03C9" w:rsidRPr="00EB03C9" w:rsidRDefault="00EB03C9" w:rsidP="00EB03C9">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hyperlink r:id="rId13" w:anchor="Allgemeines" w:history="1">
        <w:r w:rsidRPr="00EB03C9">
          <w:rPr>
            <w:rFonts w:ascii="Times New Roman" w:eastAsia="Times New Roman" w:hAnsi="Times New Roman" w:cs="Times New Roman"/>
            <w:color w:val="0000FF"/>
            <w:sz w:val="24"/>
            <w:szCs w:val="24"/>
            <w:u w:val="single"/>
            <w:lang w:eastAsia="de-DE"/>
          </w:rPr>
          <w:t>1 Allgemeines</w:t>
        </w:r>
      </w:hyperlink>
    </w:p>
    <w:p w:rsidR="00EB03C9" w:rsidRPr="00EB03C9" w:rsidRDefault="00EB03C9" w:rsidP="00EB03C9">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hyperlink r:id="rId14" w:anchor="Arten" w:history="1">
        <w:r w:rsidRPr="00EB03C9">
          <w:rPr>
            <w:rFonts w:ascii="Times New Roman" w:eastAsia="Times New Roman" w:hAnsi="Times New Roman" w:cs="Times New Roman"/>
            <w:color w:val="0000FF"/>
            <w:sz w:val="24"/>
            <w:szCs w:val="24"/>
            <w:u w:val="single"/>
            <w:lang w:eastAsia="de-DE"/>
          </w:rPr>
          <w:t>2 Arten</w:t>
        </w:r>
      </w:hyperlink>
    </w:p>
    <w:p w:rsidR="00EB03C9" w:rsidRPr="00EB03C9" w:rsidRDefault="00EB03C9" w:rsidP="00EB03C9">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hyperlink r:id="rId15" w:anchor="Besonderheiten" w:history="1">
        <w:r w:rsidRPr="00EB03C9">
          <w:rPr>
            <w:rFonts w:ascii="Times New Roman" w:eastAsia="Times New Roman" w:hAnsi="Times New Roman" w:cs="Times New Roman"/>
            <w:color w:val="0000FF"/>
            <w:sz w:val="24"/>
            <w:szCs w:val="24"/>
            <w:u w:val="single"/>
            <w:lang w:eastAsia="de-DE"/>
          </w:rPr>
          <w:t>3 Besonderheiten</w:t>
        </w:r>
      </w:hyperlink>
      <w:r w:rsidRPr="00EB03C9">
        <w:rPr>
          <w:rFonts w:ascii="Times New Roman" w:eastAsia="Times New Roman" w:hAnsi="Times New Roman" w:cs="Times New Roman"/>
          <w:sz w:val="24"/>
          <w:szCs w:val="24"/>
          <w:lang w:eastAsia="de-DE"/>
        </w:rPr>
        <w:t xml:space="preserve"> </w:t>
      </w:r>
    </w:p>
    <w:p w:rsidR="00EB03C9" w:rsidRPr="00EB03C9" w:rsidRDefault="00EB03C9" w:rsidP="00EB03C9">
      <w:pPr>
        <w:numPr>
          <w:ilvl w:val="1"/>
          <w:numId w:val="1"/>
        </w:numPr>
        <w:spacing w:before="100" w:beforeAutospacing="1" w:after="100" w:afterAutospacing="1" w:line="240" w:lineRule="auto"/>
        <w:rPr>
          <w:rFonts w:ascii="Times New Roman" w:eastAsia="Times New Roman" w:hAnsi="Times New Roman" w:cs="Times New Roman"/>
          <w:sz w:val="24"/>
          <w:szCs w:val="24"/>
          <w:lang w:eastAsia="de-DE"/>
        </w:rPr>
      </w:pPr>
      <w:hyperlink r:id="rId16" w:anchor="Nicht_verkehrsfähig" w:history="1">
        <w:r w:rsidRPr="00EB03C9">
          <w:rPr>
            <w:rFonts w:ascii="Times New Roman" w:eastAsia="Times New Roman" w:hAnsi="Times New Roman" w:cs="Times New Roman"/>
            <w:color w:val="0000FF"/>
            <w:sz w:val="24"/>
            <w:szCs w:val="24"/>
            <w:u w:val="single"/>
            <w:lang w:eastAsia="de-DE"/>
          </w:rPr>
          <w:t>3.1 Nicht verkehrsfähig</w:t>
        </w:r>
      </w:hyperlink>
    </w:p>
    <w:p w:rsidR="00EB03C9" w:rsidRPr="00EB03C9" w:rsidRDefault="00EB03C9" w:rsidP="00EB03C9">
      <w:pPr>
        <w:numPr>
          <w:ilvl w:val="1"/>
          <w:numId w:val="1"/>
        </w:numPr>
        <w:spacing w:before="100" w:beforeAutospacing="1" w:after="100" w:afterAutospacing="1" w:line="240" w:lineRule="auto"/>
        <w:rPr>
          <w:rFonts w:ascii="Times New Roman" w:eastAsia="Times New Roman" w:hAnsi="Times New Roman" w:cs="Times New Roman"/>
          <w:sz w:val="24"/>
          <w:szCs w:val="24"/>
          <w:lang w:eastAsia="de-DE"/>
        </w:rPr>
      </w:pPr>
      <w:hyperlink r:id="rId17" w:anchor="Mittel_der_Zwangsvollstreckung" w:history="1">
        <w:r w:rsidRPr="00EB03C9">
          <w:rPr>
            <w:rFonts w:ascii="Times New Roman" w:eastAsia="Times New Roman" w:hAnsi="Times New Roman" w:cs="Times New Roman"/>
            <w:color w:val="0000FF"/>
            <w:sz w:val="24"/>
            <w:szCs w:val="24"/>
            <w:u w:val="single"/>
            <w:lang w:eastAsia="de-DE"/>
          </w:rPr>
          <w:t>3.2 Mittel der Zwangsvollstreckung</w:t>
        </w:r>
      </w:hyperlink>
    </w:p>
    <w:p w:rsidR="00EB03C9" w:rsidRPr="00EB03C9" w:rsidRDefault="00EB03C9" w:rsidP="00EB03C9">
      <w:pPr>
        <w:numPr>
          <w:ilvl w:val="1"/>
          <w:numId w:val="1"/>
        </w:numPr>
        <w:spacing w:before="100" w:beforeAutospacing="1" w:after="100" w:afterAutospacing="1" w:line="240" w:lineRule="auto"/>
        <w:rPr>
          <w:rFonts w:ascii="Times New Roman" w:eastAsia="Times New Roman" w:hAnsi="Times New Roman" w:cs="Times New Roman"/>
          <w:sz w:val="24"/>
          <w:szCs w:val="24"/>
          <w:lang w:eastAsia="de-DE"/>
        </w:rPr>
      </w:pPr>
      <w:hyperlink r:id="rId18" w:anchor="Insolvenzfestes_Sicherungsmittel" w:history="1">
        <w:r w:rsidRPr="00EB03C9">
          <w:rPr>
            <w:rFonts w:ascii="Times New Roman" w:eastAsia="Times New Roman" w:hAnsi="Times New Roman" w:cs="Times New Roman"/>
            <w:color w:val="0000FF"/>
            <w:sz w:val="24"/>
            <w:szCs w:val="24"/>
            <w:u w:val="single"/>
            <w:lang w:eastAsia="de-DE"/>
          </w:rPr>
          <w:t>3.3 Insolvenzfestes Sicherungsmittel</w:t>
        </w:r>
      </w:hyperlink>
    </w:p>
    <w:p w:rsidR="00EB03C9" w:rsidRPr="00EB03C9" w:rsidRDefault="00EB03C9" w:rsidP="00EB03C9">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hyperlink r:id="rId19" w:anchor="Weblinks" w:history="1">
        <w:r w:rsidRPr="00EB03C9">
          <w:rPr>
            <w:rFonts w:ascii="Times New Roman" w:eastAsia="Times New Roman" w:hAnsi="Times New Roman" w:cs="Times New Roman"/>
            <w:color w:val="0000FF"/>
            <w:sz w:val="24"/>
            <w:szCs w:val="24"/>
            <w:u w:val="single"/>
            <w:lang w:eastAsia="de-DE"/>
          </w:rPr>
          <w:t>4 Weblinks</w:t>
        </w:r>
      </w:hyperlink>
    </w:p>
    <w:p w:rsidR="00EB03C9" w:rsidRPr="00EB03C9" w:rsidRDefault="00EB03C9" w:rsidP="00EB03C9">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hyperlink r:id="rId20" w:anchor="Einzelnachweise" w:history="1">
        <w:r w:rsidRPr="00EB03C9">
          <w:rPr>
            <w:rFonts w:ascii="Times New Roman" w:eastAsia="Times New Roman" w:hAnsi="Times New Roman" w:cs="Times New Roman"/>
            <w:color w:val="0000FF"/>
            <w:sz w:val="24"/>
            <w:szCs w:val="24"/>
            <w:u w:val="single"/>
            <w:lang w:eastAsia="de-DE"/>
          </w:rPr>
          <w:t>5 Einzelnachweise</w:t>
        </w:r>
      </w:hyperlink>
    </w:p>
    <w:p w:rsidR="00EB03C9" w:rsidRPr="00EB03C9" w:rsidRDefault="00EB03C9" w:rsidP="00EB03C9">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EB03C9">
        <w:rPr>
          <w:rFonts w:ascii="Times New Roman" w:eastAsia="Times New Roman" w:hAnsi="Times New Roman" w:cs="Times New Roman"/>
          <w:b/>
          <w:bCs/>
          <w:sz w:val="36"/>
          <w:szCs w:val="36"/>
          <w:lang w:eastAsia="de-DE"/>
        </w:rPr>
        <w:t>Allgemeines</w:t>
      </w:r>
    </w:p>
    <w:p w:rsidR="00EB03C9" w:rsidRPr="00EB03C9" w:rsidRDefault="00EB03C9" w:rsidP="00EB03C9">
      <w:pPr>
        <w:spacing w:before="100" w:beforeAutospacing="1" w:after="100" w:afterAutospacing="1" w:line="240" w:lineRule="auto"/>
        <w:rPr>
          <w:rFonts w:ascii="Times New Roman" w:eastAsia="Times New Roman" w:hAnsi="Times New Roman" w:cs="Times New Roman"/>
          <w:sz w:val="24"/>
          <w:szCs w:val="24"/>
          <w:lang w:eastAsia="de-DE"/>
        </w:rPr>
      </w:pPr>
      <w:r w:rsidRPr="00EB03C9">
        <w:rPr>
          <w:rFonts w:ascii="Times New Roman" w:eastAsia="Times New Roman" w:hAnsi="Times New Roman" w:cs="Times New Roman"/>
          <w:sz w:val="24"/>
          <w:szCs w:val="24"/>
          <w:lang w:eastAsia="de-DE"/>
        </w:rPr>
        <w:t xml:space="preserve">Zunächst stellt sich die Frage, warum das Gesetz in </w:t>
      </w:r>
      <w:hyperlink r:id="rId21" w:history="1">
        <w:r w:rsidRPr="00EB03C9">
          <w:rPr>
            <w:rFonts w:ascii="Times New Roman" w:eastAsia="Times New Roman" w:hAnsi="Times New Roman" w:cs="Times New Roman"/>
            <w:color w:val="0000FF"/>
            <w:sz w:val="24"/>
            <w:szCs w:val="24"/>
            <w:u w:val="single"/>
            <w:lang w:eastAsia="de-DE"/>
          </w:rPr>
          <w:t>§ 1184</w:t>
        </w:r>
      </w:hyperlink>
      <w:r w:rsidRPr="00EB03C9">
        <w:rPr>
          <w:rFonts w:ascii="Times New Roman" w:eastAsia="Times New Roman" w:hAnsi="Times New Roman" w:cs="Times New Roman"/>
          <w:sz w:val="24"/>
          <w:szCs w:val="24"/>
          <w:lang w:eastAsia="de-DE"/>
        </w:rPr>
        <w:t xml:space="preserve"> Abs. 1 </w:t>
      </w:r>
      <w:hyperlink r:id="rId22" w:tooltip="Bürgerliches Gesetzbuch" w:history="1">
        <w:r w:rsidRPr="00EB03C9">
          <w:rPr>
            <w:rFonts w:ascii="Times New Roman" w:eastAsia="Times New Roman" w:hAnsi="Times New Roman" w:cs="Times New Roman"/>
            <w:color w:val="0000FF"/>
            <w:sz w:val="24"/>
            <w:szCs w:val="24"/>
            <w:u w:val="single"/>
            <w:lang w:eastAsia="de-DE"/>
          </w:rPr>
          <w:t>BGB</w:t>
        </w:r>
      </w:hyperlink>
      <w:r w:rsidRPr="00EB03C9">
        <w:rPr>
          <w:rFonts w:ascii="Times New Roman" w:eastAsia="Times New Roman" w:hAnsi="Times New Roman" w:cs="Times New Roman"/>
          <w:sz w:val="24"/>
          <w:szCs w:val="24"/>
          <w:lang w:eastAsia="de-DE"/>
        </w:rPr>
        <w:t xml:space="preserve"> die Form der Sicherungshypothek vorsieht, obwohl es doch bereits in §</w:t>
      </w:r>
      <w:hyperlink r:id="rId23" w:history="1">
        <w:r w:rsidRPr="00EB03C9">
          <w:rPr>
            <w:rFonts w:ascii="Times New Roman" w:eastAsia="Times New Roman" w:hAnsi="Times New Roman" w:cs="Times New Roman"/>
            <w:color w:val="0000FF"/>
            <w:sz w:val="24"/>
            <w:szCs w:val="24"/>
            <w:u w:val="single"/>
            <w:lang w:eastAsia="de-DE"/>
          </w:rPr>
          <w:t>§ 1113</w:t>
        </w:r>
      </w:hyperlink>
      <w:r w:rsidRPr="00EB03C9">
        <w:rPr>
          <w:rFonts w:ascii="Times New Roman" w:eastAsia="Times New Roman" w:hAnsi="Times New Roman" w:cs="Times New Roman"/>
          <w:sz w:val="24"/>
          <w:szCs w:val="24"/>
          <w:lang w:eastAsia="de-DE"/>
        </w:rPr>
        <w:t xml:space="preserve"> ff. BGB die </w:t>
      </w:r>
      <w:hyperlink r:id="rId24" w:tooltip="Hypothek (Deutschland)" w:history="1">
        <w:r w:rsidRPr="00EB03C9">
          <w:rPr>
            <w:rFonts w:ascii="Times New Roman" w:eastAsia="Times New Roman" w:hAnsi="Times New Roman" w:cs="Times New Roman"/>
            <w:color w:val="0000FF"/>
            <w:sz w:val="24"/>
            <w:szCs w:val="24"/>
            <w:u w:val="single"/>
            <w:lang w:eastAsia="de-DE"/>
          </w:rPr>
          <w:t>Hypothek</w:t>
        </w:r>
      </w:hyperlink>
      <w:r w:rsidRPr="00EB03C9">
        <w:rPr>
          <w:rFonts w:ascii="Times New Roman" w:eastAsia="Times New Roman" w:hAnsi="Times New Roman" w:cs="Times New Roman"/>
          <w:sz w:val="24"/>
          <w:szCs w:val="24"/>
          <w:lang w:eastAsia="de-DE"/>
        </w:rPr>
        <w:t xml:space="preserve"> ausführlich regelt. Um beide voneinander zu unterscheiden, hat sich im Rechtsverkehr für die letztere der Begriff der </w:t>
      </w:r>
      <w:r w:rsidRPr="00EB03C9">
        <w:rPr>
          <w:rFonts w:ascii="Times New Roman" w:eastAsia="Times New Roman" w:hAnsi="Times New Roman" w:cs="Times New Roman"/>
          <w:i/>
          <w:iCs/>
          <w:sz w:val="24"/>
          <w:szCs w:val="24"/>
          <w:lang w:eastAsia="de-DE"/>
        </w:rPr>
        <w:t>Verkehrshypothek</w:t>
      </w:r>
      <w:r w:rsidRPr="00EB03C9">
        <w:rPr>
          <w:rFonts w:ascii="Times New Roman" w:eastAsia="Times New Roman" w:hAnsi="Times New Roman" w:cs="Times New Roman"/>
          <w:sz w:val="24"/>
          <w:szCs w:val="24"/>
          <w:lang w:eastAsia="de-DE"/>
        </w:rPr>
        <w:t xml:space="preserve"> eingebürgert; das Gesetz nennt sie in </w:t>
      </w:r>
      <w:hyperlink r:id="rId25" w:history="1">
        <w:r w:rsidRPr="00EB03C9">
          <w:rPr>
            <w:rFonts w:ascii="Times New Roman" w:eastAsia="Times New Roman" w:hAnsi="Times New Roman" w:cs="Times New Roman"/>
            <w:color w:val="0000FF"/>
            <w:sz w:val="24"/>
            <w:szCs w:val="24"/>
            <w:u w:val="single"/>
            <w:lang w:eastAsia="de-DE"/>
          </w:rPr>
          <w:t>§ 1186</w:t>
        </w:r>
      </w:hyperlink>
      <w:r w:rsidRPr="00EB03C9">
        <w:rPr>
          <w:rFonts w:ascii="Times New Roman" w:eastAsia="Times New Roman" w:hAnsi="Times New Roman" w:cs="Times New Roman"/>
          <w:sz w:val="24"/>
          <w:szCs w:val="24"/>
          <w:lang w:eastAsia="de-DE"/>
        </w:rPr>
        <w:t xml:space="preserve"> BGB „gewöhnliche Hypothek“. Die Sicherungshypothek ist für besondere Fälle vorgesehen, bei denen die Verkehrshypothek dem Gesetzgeber als ungeeignet erschien. Wesentliches Merkmal der Sicherungshypothek ist ihre absolute Abhängigkeit (</w:t>
      </w:r>
      <w:hyperlink r:id="rId26" w:tooltip="Akzessorietät" w:history="1">
        <w:r w:rsidRPr="00EB03C9">
          <w:rPr>
            <w:rFonts w:ascii="Times New Roman" w:eastAsia="Times New Roman" w:hAnsi="Times New Roman" w:cs="Times New Roman"/>
            <w:color w:val="0000FF"/>
            <w:sz w:val="24"/>
            <w:szCs w:val="24"/>
            <w:u w:val="single"/>
            <w:lang w:eastAsia="de-DE"/>
          </w:rPr>
          <w:t>Akzessorietät</w:t>
        </w:r>
      </w:hyperlink>
      <w:r w:rsidRPr="00EB03C9">
        <w:rPr>
          <w:rFonts w:ascii="Times New Roman" w:eastAsia="Times New Roman" w:hAnsi="Times New Roman" w:cs="Times New Roman"/>
          <w:sz w:val="24"/>
          <w:szCs w:val="24"/>
          <w:lang w:eastAsia="de-DE"/>
        </w:rPr>
        <w:t>) von der gesicherten Forderung,</w:t>
      </w:r>
      <w:hyperlink r:id="rId27" w:anchor="cite_note-1" w:history="1">
        <w:r w:rsidRPr="00EB03C9">
          <w:rPr>
            <w:rFonts w:ascii="Times New Roman" w:eastAsia="Times New Roman" w:hAnsi="Times New Roman" w:cs="Times New Roman"/>
            <w:color w:val="0000FF"/>
            <w:sz w:val="24"/>
            <w:szCs w:val="24"/>
            <w:u w:val="single"/>
            <w:vertAlign w:val="superscript"/>
            <w:lang w:eastAsia="de-DE"/>
          </w:rPr>
          <w:t>[1]</w:t>
        </w:r>
      </w:hyperlink>
      <w:r w:rsidRPr="00EB03C9">
        <w:rPr>
          <w:rFonts w:ascii="Times New Roman" w:eastAsia="Times New Roman" w:hAnsi="Times New Roman" w:cs="Times New Roman"/>
          <w:sz w:val="24"/>
          <w:szCs w:val="24"/>
          <w:lang w:eastAsia="de-DE"/>
        </w:rPr>
        <w:t xml:space="preserve"> zu deren </w:t>
      </w:r>
      <w:hyperlink r:id="rId28" w:tooltip="Beweis (Rechtswesen)" w:history="1">
        <w:r w:rsidRPr="00EB03C9">
          <w:rPr>
            <w:rFonts w:ascii="Times New Roman" w:eastAsia="Times New Roman" w:hAnsi="Times New Roman" w:cs="Times New Roman"/>
            <w:color w:val="0000FF"/>
            <w:sz w:val="24"/>
            <w:szCs w:val="24"/>
            <w:u w:val="single"/>
            <w:lang w:eastAsia="de-DE"/>
          </w:rPr>
          <w:t>Beweis</w:t>
        </w:r>
      </w:hyperlink>
      <w:r w:rsidRPr="00EB03C9">
        <w:rPr>
          <w:rFonts w:ascii="Times New Roman" w:eastAsia="Times New Roman" w:hAnsi="Times New Roman" w:cs="Times New Roman"/>
          <w:sz w:val="24"/>
          <w:szCs w:val="24"/>
          <w:lang w:eastAsia="de-DE"/>
        </w:rPr>
        <w:t xml:space="preserve"> sich der Hypothekengläubiger nicht auf die Eintragung im Grundbuch berufen kann. Deshalb ist </w:t>
      </w:r>
      <w:hyperlink r:id="rId29" w:history="1">
        <w:r w:rsidRPr="00EB03C9">
          <w:rPr>
            <w:rFonts w:ascii="Times New Roman" w:eastAsia="Times New Roman" w:hAnsi="Times New Roman" w:cs="Times New Roman"/>
            <w:color w:val="0000FF"/>
            <w:sz w:val="24"/>
            <w:szCs w:val="24"/>
            <w:u w:val="single"/>
            <w:lang w:eastAsia="de-DE"/>
          </w:rPr>
          <w:t>§ 1138</w:t>
        </w:r>
      </w:hyperlink>
      <w:r w:rsidRPr="00EB03C9">
        <w:rPr>
          <w:rFonts w:ascii="Times New Roman" w:eastAsia="Times New Roman" w:hAnsi="Times New Roman" w:cs="Times New Roman"/>
          <w:sz w:val="24"/>
          <w:szCs w:val="24"/>
          <w:lang w:eastAsia="de-DE"/>
        </w:rPr>
        <w:t xml:space="preserve"> BGB (öffentlicher Glaube) für die Sicherungshypothek nach § 1185 Abs. 2 BGB ausgeschlossen. Die sich bereits hieraus ergebende Beschränkung der </w:t>
      </w:r>
      <w:hyperlink r:id="rId30" w:tooltip="Verkehrsfähigkeit" w:history="1">
        <w:r w:rsidRPr="00EB03C9">
          <w:rPr>
            <w:rFonts w:ascii="Times New Roman" w:eastAsia="Times New Roman" w:hAnsi="Times New Roman" w:cs="Times New Roman"/>
            <w:color w:val="0000FF"/>
            <w:sz w:val="24"/>
            <w:szCs w:val="24"/>
            <w:u w:val="single"/>
            <w:lang w:eastAsia="de-DE"/>
          </w:rPr>
          <w:t>Verkehrsfähigkeit</w:t>
        </w:r>
      </w:hyperlink>
      <w:r w:rsidRPr="00EB03C9">
        <w:rPr>
          <w:rFonts w:ascii="Times New Roman" w:eastAsia="Times New Roman" w:hAnsi="Times New Roman" w:cs="Times New Roman"/>
          <w:sz w:val="24"/>
          <w:szCs w:val="24"/>
          <w:lang w:eastAsia="de-DE"/>
        </w:rPr>
        <w:t xml:space="preserve"> der Sicherungshypothek wird durch den Ausschluss eines </w:t>
      </w:r>
      <w:hyperlink r:id="rId31" w:tooltip="Hypothekenbrief" w:history="1">
        <w:r w:rsidRPr="00EB03C9">
          <w:rPr>
            <w:rFonts w:ascii="Times New Roman" w:eastAsia="Times New Roman" w:hAnsi="Times New Roman" w:cs="Times New Roman"/>
            <w:color w:val="0000FF"/>
            <w:sz w:val="24"/>
            <w:szCs w:val="24"/>
            <w:u w:val="single"/>
            <w:lang w:eastAsia="de-DE"/>
          </w:rPr>
          <w:t>Hypothekenbriefs</w:t>
        </w:r>
      </w:hyperlink>
      <w:r w:rsidRPr="00EB03C9">
        <w:rPr>
          <w:rFonts w:ascii="Times New Roman" w:eastAsia="Times New Roman" w:hAnsi="Times New Roman" w:cs="Times New Roman"/>
          <w:sz w:val="24"/>
          <w:szCs w:val="24"/>
          <w:lang w:eastAsia="de-DE"/>
        </w:rPr>
        <w:t xml:space="preserve"> verstärkt, § 1185 Abs. 1 BGB. </w:t>
      </w:r>
    </w:p>
    <w:p w:rsidR="00EB03C9" w:rsidRPr="00EB03C9" w:rsidRDefault="00EB03C9" w:rsidP="00EB03C9">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EB03C9">
        <w:rPr>
          <w:rFonts w:ascii="Times New Roman" w:eastAsia="Times New Roman" w:hAnsi="Times New Roman" w:cs="Times New Roman"/>
          <w:b/>
          <w:bCs/>
          <w:sz w:val="36"/>
          <w:szCs w:val="36"/>
          <w:lang w:eastAsia="de-DE"/>
        </w:rPr>
        <w:t>Arten</w:t>
      </w:r>
    </w:p>
    <w:p w:rsidR="00EB03C9" w:rsidRPr="00EB03C9" w:rsidRDefault="00EB03C9" w:rsidP="00EB03C9">
      <w:pPr>
        <w:spacing w:before="100" w:beforeAutospacing="1" w:after="100" w:afterAutospacing="1" w:line="240" w:lineRule="auto"/>
        <w:rPr>
          <w:rFonts w:ascii="Times New Roman" w:eastAsia="Times New Roman" w:hAnsi="Times New Roman" w:cs="Times New Roman"/>
          <w:sz w:val="24"/>
          <w:szCs w:val="24"/>
          <w:lang w:eastAsia="de-DE"/>
        </w:rPr>
      </w:pPr>
      <w:r w:rsidRPr="00EB03C9">
        <w:rPr>
          <w:rFonts w:ascii="Times New Roman" w:eastAsia="Times New Roman" w:hAnsi="Times New Roman" w:cs="Times New Roman"/>
          <w:sz w:val="24"/>
          <w:szCs w:val="24"/>
          <w:lang w:eastAsia="de-DE"/>
        </w:rPr>
        <w:t>Begründet das Gesetz selbst eine Hypothek, so wählt es die für den Grundstücks</w:t>
      </w:r>
      <w:hyperlink r:id="rId32" w:tooltip="Eigentümer" w:history="1">
        <w:r w:rsidRPr="00EB03C9">
          <w:rPr>
            <w:rFonts w:ascii="Times New Roman" w:eastAsia="Times New Roman" w:hAnsi="Times New Roman" w:cs="Times New Roman"/>
            <w:color w:val="0000FF"/>
            <w:sz w:val="24"/>
            <w:szCs w:val="24"/>
            <w:u w:val="single"/>
            <w:lang w:eastAsia="de-DE"/>
          </w:rPr>
          <w:t>eigentümer</w:t>
        </w:r>
      </w:hyperlink>
      <w:r w:rsidRPr="00EB03C9">
        <w:rPr>
          <w:rFonts w:ascii="Times New Roman" w:eastAsia="Times New Roman" w:hAnsi="Times New Roman" w:cs="Times New Roman"/>
          <w:sz w:val="24"/>
          <w:szCs w:val="24"/>
          <w:lang w:eastAsia="de-DE"/>
        </w:rPr>
        <w:t xml:space="preserve"> günstigere Sicherungshypothek.</w:t>
      </w:r>
      <w:hyperlink r:id="rId33" w:anchor="cite_note-2" w:history="1">
        <w:r w:rsidRPr="00EB03C9">
          <w:rPr>
            <w:rFonts w:ascii="Times New Roman" w:eastAsia="Times New Roman" w:hAnsi="Times New Roman" w:cs="Times New Roman"/>
            <w:color w:val="0000FF"/>
            <w:sz w:val="24"/>
            <w:szCs w:val="24"/>
            <w:u w:val="single"/>
            <w:vertAlign w:val="superscript"/>
            <w:lang w:eastAsia="de-DE"/>
          </w:rPr>
          <w:t>[2]</w:t>
        </w:r>
      </w:hyperlink>
      <w:r w:rsidRPr="00EB03C9">
        <w:rPr>
          <w:rFonts w:ascii="Times New Roman" w:eastAsia="Times New Roman" w:hAnsi="Times New Roman" w:cs="Times New Roman"/>
          <w:sz w:val="24"/>
          <w:szCs w:val="24"/>
          <w:lang w:eastAsia="de-DE"/>
        </w:rPr>
        <w:t xml:space="preserve"> </w:t>
      </w:r>
    </w:p>
    <w:p w:rsidR="00EB03C9" w:rsidRPr="00EB03C9" w:rsidRDefault="00EB03C9" w:rsidP="00EB03C9">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EB03C9">
        <w:rPr>
          <w:rFonts w:ascii="Times New Roman" w:eastAsia="Times New Roman" w:hAnsi="Times New Roman" w:cs="Times New Roman"/>
          <w:sz w:val="24"/>
          <w:szCs w:val="24"/>
          <w:lang w:eastAsia="de-DE"/>
        </w:rPr>
        <w:t xml:space="preserve">Kraft Gesetzes entsteht eine </w:t>
      </w:r>
      <w:hyperlink r:id="rId34" w:tooltip="Zivilrecht" w:history="1">
        <w:r w:rsidRPr="00EB03C9">
          <w:rPr>
            <w:rFonts w:ascii="Times New Roman" w:eastAsia="Times New Roman" w:hAnsi="Times New Roman" w:cs="Times New Roman"/>
            <w:color w:val="0000FF"/>
            <w:sz w:val="24"/>
            <w:szCs w:val="24"/>
            <w:u w:val="single"/>
            <w:lang w:eastAsia="de-DE"/>
          </w:rPr>
          <w:t>zivilrechtliche</w:t>
        </w:r>
      </w:hyperlink>
      <w:r w:rsidRPr="00EB03C9">
        <w:rPr>
          <w:rFonts w:ascii="Times New Roman" w:eastAsia="Times New Roman" w:hAnsi="Times New Roman" w:cs="Times New Roman"/>
          <w:sz w:val="24"/>
          <w:szCs w:val="24"/>
          <w:lang w:eastAsia="de-DE"/>
        </w:rPr>
        <w:t xml:space="preserve"> Sicherungshypothek in folgenden Fällen: </w:t>
      </w:r>
    </w:p>
    <w:p w:rsidR="00EB03C9" w:rsidRPr="00EB03C9" w:rsidRDefault="00EB03C9" w:rsidP="00EB03C9">
      <w:pPr>
        <w:numPr>
          <w:ilvl w:val="1"/>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EB03C9">
        <w:rPr>
          <w:rFonts w:ascii="Times New Roman" w:eastAsia="Times New Roman" w:hAnsi="Times New Roman" w:cs="Times New Roman"/>
          <w:sz w:val="24"/>
          <w:szCs w:val="24"/>
          <w:lang w:eastAsia="de-DE"/>
        </w:rPr>
        <w:t xml:space="preserve">Der </w:t>
      </w:r>
      <w:hyperlink r:id="rId35" w:tooltip="Bauunternehmer" w:history="1">
        <w:r w:rsidRPr="00EB03C9">
          <w:rPr>
            <w:rFonts w:ascii="Times New Roman" w:eastAsia="Times New Roman" w:hAnsi="Times New Roman" w:cs="Times New Roman"/>
            <w:color w:val="0000FF"/>
            <w:sz w:val="24"/>
            <w:szCs w:val="24"/>
            <w:u w:val="single"/>
            <w:lang w:eastAsia="de-DE"/>
          </w:rPr>
          <w:t>Bauunternehmer</w:t>
        </w:r>
      </w:hyperlink>
      <w:r w:rsidRPr="00EB03C9">
        <w:rPr>
          <w:rFonts w:ascii="Times New Roman" w:eastAsia="Times New Roman" w:hAnsi="Times New Roman" w:cs="Times New Roman"/>
          <w:sz w:val="24"/>
          <w:szCs w:val="24"/>
          <w:lang w:eastAsia="de-DE"/>
        </w:rPr>
        <w:t xml:space="preserve"> kann gemäß </w:t>
      </w:r>
      <w:hyperlink r:id="rId36" w:history="1">
        <w:r w:rsidRPr="00EB03C9">
          <w:rPr>
            <w:rFonts w:ascii="Times New Roman" w:eastAsia="Times New Roman" w:hAnsi="Times New Roman" w:cs="Times New Roman"/>
            <w:color w:val="0000FF"/>
            <w:sz w:val="24"/>
            <w:szCs w:val="24"/>
            <w:u w:val="single"/>
            <w:lang w:eastAsia="de-DE"/>
          </w:rPr>
          <w:t>§ 650e</w:t>
        </w:r>
      </w:hyperlink>
      <w:r w:rsidRPr="00EB03C9">
        <w:rPr>
          <w:rFonts w:ascii="Times New Roman" w:eastAsia="Times New Roman" w:hAnsi="Times New Roman" w:cs="Times New Roman"/>
          <w:sz w:val="24"/>
          <w:szCs w:val="24"/>
          <w:lang w:eastAsia="de-DE"/>
        </w:rPr>
        <w:t xml:space="preserve"> BGB für seine Forderungen aus dem </w:t>
      </w:r>
      <w:hyperlink r:id="rId37" w:tooltip="Bauvertrag (Deutschland)" w:history="1">
        <w:r w:rsidRPr="00EB03C9">
          <w:rPr>
            <w:rFonts w:ascii="Times New Roman" w:eastAsia="Times New Roman" w:hAnsi="Times New Roman" w:cs="Times New Roman"/>
            <w:color w:val="0000FF"/>
            <w:sz w:val="24"/>
            <w:szCs w:val="24"/>
            <w:u w:val="single"/>
            <w:lang w:eastAsia="de-DE"/>
          </w:rPr>
          <w:t>Bauvertrag</w:t>
        </w:r>
      </w:hyperlink>
      <w:r w:rsidRPr="00EB03C9">
        <w:rPr>
          <w:rFonts w:ascii="Times New Roman" w:eastAsia="Times New Roman" w:hAnsi="Times New Roman" w:cs="Times New Roman"/>
          <w:sz w:val="24"/>
          <w:szCs w:val="24"/>
          <w:lang w:eastAsia="de-DE"/>
        </w:rPr>
        <w:t xml:space="preserve"> die Einräumung einer Sicherungshypothek an dem Baugrundstück des Auftraggebers verlangen.</w:t>
      </w:r>
    </w:p>
    <w:p w:rsidR="00EB03C9" w:rsidRPr="00EB03C9" w:rsidRDefault="00EB03C9" w:rsidP="00EB03C9">
      <w:pPr>
        <w:numPr>
          <w:ilvl w:val="1"/>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EB03C9">
        <w:rPr>
          <w:rFonts w:ascii="Times New Roman" w:eastAsia="Times New Roman" w:hAnsi="Times New Roman" w:cs="Times New Roman"/>
          <w:sz w:val="24"/>
          <w:szCs w:val="24"/>
          <w:lang w:eastAsia="de-DE"/>
        </w:rPr>
        <w:t xml:space="preserve">Der Inhaber einer </w:t>
      </w:r>
      <w:hyperlink r:id="rId38" w:tooltip="Schiffswerft" w:history="1">
        <w:r w:rsidRPr="00EB03C9">
          <w:rPr>
            <w:rFonts w:ascii="Times New Roman" w:eastAsia="Times New Roman" w:hAnsi="Times New Roman" w:cs="Times New Roman"/>
            <w:color w:val="0000FF"/>
            <w:sz w:val="24"/>
            <w:szCs w:val="24"/>
            <w:u w:val="single"/>
            <w:lang w:eastAsia="de-DE"/>
          </w:rPr>
          <w:t>Schiffswerft</w:t>
        </w:r>
      </w:hyperlink>
      <w:r w:rsidRPr="00EB03C9">
        <w:rPr>
          <w:rFonts w:ascii="Times New Roman" w:eastAsia="Times New Roman" w:hAnsi="Times New Roman" w:cs="Times New Roman"/>
          <w:sz w:val="24"/>
          <w:szCs w:val="24"/>
          <w:lang w:eastAsia="de-DE"/>
        </w:rPr>
        <w:t xml:space="preserve"> kann für seine Forderungen aus dem Bau oder der Ausbesserung eines </w:t>
      </w:r>
      <w:hyperlink r:id="rId39" w:tooltip="Schiff" w:history="1">
        <w:r w:rsidRPr="00EB03C9">
          <w:rPr>
            <w:rFonts w:ascii="Times New Roman" w:eastAsia="Times New Roman" w:hAnsi="Times New Roman" w:cs="Times New Roman"/>
            <w:color w:val="0000FF"/>
            <w:sz w:val="24"/>
            <w:szCs w:val="24"/>
            <w:u w:val="single"/>
            <w:lang w:eastAsia="de-DE"/>
          </w:rPr>
          <w:t>Schiffes</w:t>
        </w:r>
      </w:hyperlink>
      <w:r w:rsidRPr="00EB03C9">
        <w:rPr>
          <w:rFonts w:ascii="Times New Roman" w:eastAsia="Times New Roman" w:hAnsi="Times New Roman" w:cs="Times New Roman"/>
          <w:sz w:val="24"/>
          <w:szCs w:val="24"/>
          <w:lang w:eastAsia="de-DE"/>
        </w:rPr>
        <w:t xml:space="preserve"> die Einräumung einer </w:t>
      </w:r>
      <w:hyperlink r:id="rId40" w:tooltip="Schiffshypothek" w:history="1">
        <w:r w:rsidRPr="00EB03C9">
          <w:rPr>
            <w:rFonts w:ascii="Times New Roman" w:eastAsia="Times New Roman" w:hAnsi="Times New Roman" w:cs="Times New Roman"/>
            <w:color w:val="0000FF"/>
            <w:sz w:val="24"/>
            <w:szCs w:val="24"/>
            <w:u w:val="single"/>
            <w:lang w:eastAsia="de-DE"/>
          </w:rPr>
          <w:t>Schiffshypothek</w:t>
        </w:r>
      </w:hyperlink>
      <w:r w:rsidRPr="00EB03C9">
        <w:rPr>
          <w:rFonts w:ascii="Times New Roman" w:eastAsia="Times New Roman" w:hAnsi="Times New Roman" w:cs="Times New Roman"/>
          <w:sz w:val="24"/>
          <w:szCs w:val="24"/>
          <w:lang w:eastAsia="de-DE"/>
        </w:rPr>
        <w:t xml:space="preserve"> an dem Schiffsbauwerk oder dem Schiff des Bestellers gemäß </w:t>
      </w:r>
      <w:hyperlink r:id="rId41" w:history="1">
        <w:r w:rsidRPr="00EB03C9">
          <w:rPr>
            <w:rFonts w:ascii="Times New Roman" w:eastAsia="Times New Roman" w:hAnsi="Times New Roman" w:cs="Times New Roman"/>
            <w:color w:val="0000FF"/>
            <w:sz w:val="24"/>
            <w:szCs w:val="24"/>
            <w:u w:val="single"/>
            <w:lang w:eastAsia="de-DE"/>
          </w:rPr>
          <w:t>§ 647a</w:t>
        </w:r>
      </w:hyperlink>
      <w:r w:rsidRPr="00EB03C9">
        <w:rPr>
          <w:rFonts w:ascii="Times New Roman" w:eastAsia="Times New Roman" w:hAnsi="Times New Roman" w:cs="Times New Roman"/>
          <w:sz w:val="24"/>
          <w:szCs w:val="24"/>
          <w:lang w:eastAsia="de-DE"/>
        </w:rPr>
        <w:t xml:space="preserve"> BGB verlangen.</w:t>
      </w:r>
    </w:p>
    <w:p w:rsidR="00EB03C9" w:rsidRPr="00EB03C9" w:rsidRDefault="00EB03C9" w:rsidP="00EB03C9">
      <w:pPr>
        <w:numPr>
          <w:ilvl w:val="1"/>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EB03C9">
        <w:rPr>
          <w:rFonts w:ascii="Times New Roman" w:eastAsia="Times New Roman" w:hAnsi="Times New Roman" w:cs="Times New Roman"/>
          <w:sz w:val="24"/>
          <w:szCs w:val="24"/>
          <w:lang w:eastAsia="de-DE"/>
        </w:rPr>
        <w:lastRenderedPageBreak/>
        <w:t xml:space="preserve">Für </w:t>
      </w:r>
      <w:hyperlink r:id="rId42" w:tooltip="Bauhandwerker" w:history="1">
        <w:r w:rsidRPr="00EB03C9">
          <w:rPr>
            <w:rFonts w:ascii="Times New Roman" w:eastAsia="Times New Roman" w:hAnsi="Times New Roman" w:cs="Times New Roman"/>
            <w:color w:val="0000FF"/>
            <w:sz w:val="24"/>
            <w:szCs w:val="24"/>
            <w:u w:val="single"/>
            <w:lang w:eastAsia="de-DE"/>
          </w:rPr>
          <w:t>Bauhandwerker</w:t>
        </w:r>
      </w:hyperlink>
      <w:r w:rsidRPr="00EB03C9">
        <w:rPr>
          <w:rFonts w:ascii="Times New Roman" w:eastAsia="Times New Roman" w:hAnsi="Times New Roman" w:cs="Times New Roman"/>
          <w:sz w:val="24"/>
          <w:szCs w:val="24"/>
          <w:lang w:eastAsia="de-DE"/>
        </w:rPr>
        <w:t xml:space="preserve"> sieht </w:t>
      </w:r>
      <w:hyperlink r:id="rId43" w:history="1">
        <w:r w:rsidRPr="00EB03C9">
          <w:rPr>
            <w:rFonts w:ascii="Times New Roman" w:eastAsia="Times New Roman" w:hAnsi="Times New Roman" w:cs="Times New Roman"/>
            <w:color w:val="0000FF"/>
            <w:sz w:val="24"/>
            <w:szCs w:val="24"/>
            <w:u w:val="single"/>
            <w:lang w:eastAsia="de-DE"/>
          </w:rPr>
          <w:t>§ 650f</w:t>
        </w:r>
      </w:hyperlink>
      <w:r w:rsidRPr="00EB03C9">
        <w:rPr>
          <w:rFonts w:ascii="Times New Roman" w:eastAsia="Times New Roman" w:hAnsi="Times New Roman" w:cs="Times New Roman"/>
          <w:sz w:val="24"/>
          <w:szCs w:val="24"/>
          <w:lang w:eastAsia="de-DE"/>
        </w:rPr>
        <w:t xml:space="preserve"> Abs. 4 BGB eine </w:t>
      </w:r>
      <w:hyperlink r:id="rId44" w:tooltip="Bauhandwerker-Sicherungshypothek" w:history="1">
        <w:r w:rsidRPr="00EB03C9">
          <w:rPr>
            <w:rFonts w:ascii="Times New Roman" w:eastAsia="Times New Roman" w:hAnsi="Times New Roman" w:cs="Times New Roman"/>
            <w:color w:val="0000FF"/>
            <w:sz w:val="24"/>
            <w:szCs w:val="24"/>
            <w:u w:val="single"/>
            <w:lang w:eastAsia="de-DE"/>
          </w:rPr>
          <w:t>Bauhandwerker-Sicherungshypothek</w:t>
        </w:r>
      </w:hyperlink>
      <w:r w:rsidRPr="00EB03C9">
        <w:rPr>
          <w:rFonts w:ascii="Times New Roman" w:eastAsia="Times New Roman" w:hAnsi="Times New Roman" w:cs="Times New Roman"/>
          <w:sz w:val="24"/>
          <w:szCs w:val="24"/>
          <w:lang w:eastAsia="de-DE"/>
        </w:rPr>
        <w:t xml:space="preserve"> für noch nicht bezahlte </w:t>
      </w:r>
      <w:hyperlink r:id="rId45" w:tooltip="Werklohn" w:history="1">
        <w:r w:rsidRPr="00EB03C9">
          <w:rPr>
            <w:rFonts w:ascii="Times New Roman" w:eastAsia="Times New Roman" w:hAnsi="Times New Roman" w:cs="Times New Roman"/>
            <w:color w:val="0000FF"/>
            <w:sz w:val="24"/>
            <w:szCs w:val="24"/>
            <w:u w:val="single"/>
            <w:lang w:eastAsia="de-DE"/>
          </w:rPr>
          <w:t>Werklohnforderungen</w:t>
        </w:r>
      </w:hyperlink>
      <w:r w:rsidRPr="00EB03C9">
        <w:rPr>
          <w:rFonts w:ascii="Times New Roman" w:eastAsia="Times New Roman" w:hAnsi="Times New Roman" w:cs="Times New Roman"/>
          <w:sz w:val="24"/>
          <w:szCs w:val="24"/>
          <w:lang w:eastAsia="de-DE"/>
        </w:rPr>
        <w:t xml:space="preserve"> an dem Baugrundstück des Auftraggebers vor, soweit sie für seinen Vergütungsanspruch keine anderweitige Sicherheit erhalten haben.</w:t>
      </w:r>
    </w:p>
    <w:p w:rsidR="00EB03C9" w:rsidRPr="00EB03C9" w:rsidRDefault="00EB03C9" w:rsidP="00EB03C9">
      <w:pPr>
        <w:numPr>
          <w:ilvl w:val="1"/>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EB03C9">
        <w:rPr>
          <w:rFonts w:ascii="Times New Roman" w:eastAsia="Times New Roman" w:hAnsi="Times New Roman" w:cs="Times New Roman"/>
          <w:sz w:val="24"/>
          <w:szCs w:val="24"/>
          <w:lang w:eastAsia="de-DE"/>
        </w:rPr>
        <w:t xml:space="preserve">Die Form der </w:t>
      </w:r>
      <w:r w:rsidRPr="00EB03C9">
        <w:rPr>
          <w:rFonts w:ascii="Times New Roman" w:eastAsia="Times New Roman" w:hAnsi="Times New Roman" w:cs="Times New Roman"/>
          <w:i/>
          <w:iCs/>
          <w:sz w:val="24"/>
          <w:szCs w:val="24"/>
          <w:lang w:eastAsia="de-DE"/>
        </w:rPr>
        <w:t>Wertpapierhypothek</w:t>
      </w:r>
      <w:r w:rsidRPr="00EB03C9">
        <w:rPr>
          <w:rFonts w:ascii="Times New Roman" w:eastAsia="Times New Roman" w:hAnsi="Times New Roman" w:cs="Times New Roman"/>
          <w:sz w:val="24"/>
          <w:szCs w:val="24"/>
          <w:lang w:eastAsia="de-DE"/>
        </w:rPr>
        <w:t xml:space="preserve"> ist vorgesehen, wenn sie für Forderungen aus </w:t>
      </w:r>
      <w:hyperlink r:id="rId46" w:tooltip="Inhaberpapier" w:history="1">
        <w:r w:rsidRPr="00EB03C9">
          <w:rPr>
            <w:rFonts w:ascii="Times New Roman" w:eastAsia="Times New Roman" w:hAnsi="Times New Roman" w:cs="Times New Roman"/>
            <w:color w:val="0000FF"/>
            <w:sz w:val="24"/>
            <w:szCs w:val="24"/>
            <w:u w:val="single"/>
            <w:lang w:eastAsia="de-DE"/>
          </w:rPr>
          <w:t>Inhaber-</w:t>
        </w:r>
      </w:hyperlink>
      <w:r w:rsidRPr="00EB03C9">
        <w:rPr>
          <w:rFonts w:ascii="Times New Roman" w:eastAsia="Times New Roman" w:hAnsi="Times New Roman" w:cs="Times New Roman"/>
          <w:sz w:val="24"/>
          <w:szCs w:val="24"/>
          <w:lang w:eastAsia="de-DE"/>
        </w:rPr>
        <w:t xml:space="preserve"> oder </w:t>
      </w:r>
      <w:hyperlink r:id="rId47" w:tooltip="Orderpapier" w:history="1">
        <w:r w:rsidRPr="00EB03C9">
          <w:rPr>
            <w:rFonts w:ascii="Times New Roman" w:eastAsia="Times New Roman" w:hAnsi="Times New Roman" w:cs="Times New Roman"/>
            <w:color w:val="0000FF"/>
            <w:sz w:val="24"/>
            <w:szCs w:val="24"/>
            <w:u w:val="single"/>
            <w:lang w:eastAsia="de-DE"/>
          </w:rPr>
          <w:t>Orderpapieren</w:t>
        </w:r>
      </w:hyperlink>
      <w:r w:rsidRPr="00EB03C9">
        <w:rPr>
          <w:rFonts w:ascii="Times New Roman" w:eastAsia="Times New Roman" w:hAnsi="Times New Roman" w:cs="Times New Roman"/>
          <w:sz w:val="24"/>
          <w:szCs w:val="24"/>
          <w:lang w:eastAsia="de-DE"/>
        </w:rPr>
        <w:t xml:space="preserve">, insbesondere für </w:t>
      </w:r>
      <w:hyperlink r:id="rId48" w:tooltip="Inhaberschuldverschreibung" w:history="1">
        <w:r w:rsidRPr="00EB03C9">
          <w:rPr>
            <w:rFonts w:ascii="Times New Roman" w:eastAsia="Times New Roman" w:hAnsi="Times New Roman" w:cs="Times New Roman"/>
            <w:color w:val="0000FF"/>
            <w:sz w:val="24"/>
            <w:szCs w:val="24"/>
            <w:u w:val="single"/>
            <w:lang w:eastAsia="de-DE"/>
          </w:rPr>
          <w:t>Inhaberschuldverschreibungen</w:t>
        </w:r>
      </w:hyperlink>
      <w:r w:rsidRPr="00EB03C9">
        <w:rPr>
          <w:rFonts w:ascii="Times New Roman" w:eastAsia="Times New Roman" w:hAnsi="Times New Roman" w:cs="Times New Roman"/>
          <w:sz w:val="24"/>
          <w:szCs w:val="24"/>
          <w:lang w:eastAsia="de-DE"/>
        </w:rPr>
        <w:t xml:space="preserve"> (</w:t>
      </w:r>
      <w:hyperlink r:id="rId49" w:history="1">
        <w:r w:rsidRPr="00EB03C9">
          <w:rPr>
            <w:rFonts w:ascii="Times New Roman" w:eastAsia="Times New Roman" w:hAnsi="Times New Roman" w:cs="Times New Roman"/>
            <w:color w:val="0000FF"/>
            <w:sz w:val="24"/>
            <w:szCs w:val="24"/>
            <w:u w:val="single"/>
            <w:lang w:eastAsia="de-DE"/>
          </w:rPr>
          <w:t>§ 1187</w:t>
        </w:r>
      </w:hyperlink>
      <w:r w:rsidRPr="00EB03C9">
        <w:rPr>
          <w:rFonts w:ascii="Times New Roman" w:eastAsia="Times New Roman" w:hAnsi="Times New Roman" w:cs="Times New Roman"/>
          <w:sz w:val="24"/>
          <w:szCs w:val="24"/>
          <w:lang w:eastAsia="de-DE"/>
        </w:rPr>
        <w:t xml:space="preserve"> Satz 1 und 2 BGB) bestellt wird. Werden also </w:t>
      </w:r>
      <w:hyperlink r:id="rId50" w:tooltip="Schuldverschreibung" w:history="1">
        <w:r w:rsidRPr="00EB03C9">
          <w:rPr>
            <w:rFonts w:ascii="Times New Roman" w:eastAsia="Times New Roman" w:hAnsi="Times New Roman" w:cs="Times New Roman"/>
            <w:color w:val="0000FF"/>
            <w:sz w:val="24"/>
            <w:szCs w:val="24"/>
            <w:u w:val="single"/>
            <w:lang w:eastAsia="de-DE"/>
          </w:rPr>
          <w:t>Schuldverschreibungen</w:t>
        </w:r>
      </w:hyperlink>
      <w:r w:rsidRPr="00EB03C9">
        <w:rPr>
          <w:rFonts w:ascii="Times New Roman" w:eastAsia="Times New Roman" w:hAnsi="Times New Roman" w:cs="Times New Roman"/>
          <w:sz w:val="24"/>
          <w:szCs w:val="24"/>
          <w:lang w:eastAsia="de-DE"/>
        </w:rPr>
        <w:t xml:space="preserve"> vom </w:t>
      </w:r>
      <w:hyperlink r:id="rId51" w:tooltip="Emittent (Finanzmarkt)" w:history="1">
        <w:r w:rsidRPr="00EB03C9">
          <w:rPr>
            <w:rFonts w:ascii="Times New Roman" w:eastAsia="Times New Roman" w:hAnsi="Times New Roman" w:cs="Times New Roman"/>
            <w:color w:val="0000FF"/>
            <w:sz w:val="24"/>
            <w:szCs w:val="24"/>
            <w:u w:val="single"/>
            <w:lang w:eastAsia="de-DE"/>
          </w:rPr>
          <w:t>Emittenten</w:t>
        </w:r>
      </w:hyperlink>
      <w:r w:rsidRPr="00EB03C9">
        <w:rPr>
          <w:rFonts w:ascii="Times New Roman" w:eastAsia="Times New Roman" w:hAnsi="Times New Roman" w:cs="Times New Roman"/>
          <w:sz w:val="24"/>
          <w:szCs w:val="24"/>
          <w:lang w:eastAsia="de-DE"/>
        </w:rPr>
        <w:t xml:space="preserve"> oder andere Inhaber- und Orderpapiere vom </w:t>
      </w:r>
      <w:hyperlink r:id="rId52" w:tooltip="Aussteller (Urkunde)" w:history="1">
        <w:r w:rsidRPr="00EB03C9">
          <w:rPr>
            <w:rFonts w:ascii="Times New Roman" w:eastAsia="Times New Roman" w:hAnsi="Times New Roman" w:cs="Times New Roman"/>
            <w:color w:val="0000FF"/>
            <w:sz w:val="24"/>
            <w:szCs w:val="24"/>
            <w:u w:val="single"/>
            <w:lang w:eastAsia="de-DE"/>
          </w:rPr>
          <w:t>Aussteller</w:t>
        </w:r>
      </w:hyperlink>
      <w:r w:rsidRPr="00EB03C9">
        <w:rPr>
          <w:rFonts w:ascii="Times New Roman" w:eastAsia="Times New Roman" w:hAnsi="Times New Roman" w:cs="Times New Roman"/>
          <w:sz w:val="24"/>
          <w:szCs w:val="24"/>
          <w:lang w:eastAsia="de-DE"/>
        </w:rPr>
        <w:t xml:space="preserve"> durch Grundpfandrechte besichert, kommt nur die Sicherungshypothek in Frage.</w:t>
      </w:r>
    </w:p>
    <w:p w:rsidR="00EB03C9" w:rsidRPr="00EB03C9" w:rsidRDefault="00EB03C9" w:rsidP="00EB03C9">
      <w:pPr>
        <w:numPr>
          <w:ilvl w:val="1"/>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EB03C9">
        <w:rPr>
          <w:rFonts w:ascii="Times New Roman" w:eastAsia="Times New Roman" w:hAnsi="Times New Roman" w:cs="Times New Roman"/>
          <w:sz w:val="24"/>
          <w:szCs w:val="24"/>
          <w:lang w:eastAsia="de-DE"/>
        </w:rPr>
        <w:t xml:space="preserve">Als </w:t>
      </w:r>
      <w:r w:rsidRPr="00EB03C9">
        <w:rPr>
          <w:rFonts w:ascii="Times New Roman" w:eastAsia="Times New Roman" w:hAnsi="Times New Roman" w:cs="Times New Roman"/>
          <w:i/>
          <w:iCs/>
          <w:sz w:val="24"/>
          <w:szCs w:val="24"/>
          <w:lang w:eastAsia="de-DE"/>
        </w:rPr>
        <w:t>Höchstbetragshypothek</w:t>
      </w:r>
      <w:r w:rsidRPr="00EB03C9">
        <w:rPr>
          <w:rFonts w:ascii="Times New Roman" w:eastAsia="Times New Roman" w:hAnsi="Times New Roman" w:cs="Times New Roman"/>
          <w:sz w:val="24"/>
          <w:szCs w:val="24"/>
          <w:lang w:eastAsia="de-DE"/>
        </w:rPr>
        <w:t xml:space="preserve"> (</w:t>
      </w:r>
      <w:hyperlink r:id="rId53" w:history="1">
        <w:r w:rsidRPr="00EB03C9">
          <w:rPr>
            <w:rFonts w:ascii="Times New Roman" w:eastAsia="Times New Roman" w:hAnsi="Times New Roman" w:cs="Times New Roman"/>
            <w:color w:val="0000FF"/>
            <w:sz w:val="24"/>
            <w:szCs w:val="24"/>
            <w:u w:val="single"/>
            <w:lang w:eastAsia="de-DE"/>
          </w:rPr>
          <w:t>§ 1190</w:t>
        </w:r>
      </w:hyperlink>
      <w:r w:rsidRPr="00EB03C9">
        <w:rPr>
          <w:rFonts w:ascii="Times New Roman" w:eastAsia="Times New Roman" w:hAnsi="Times New Roman" w:cs="Times New Roman"/>
          <w:sz w:val="24"/>
          <w:szCs w:val="24"/>
          <w:lang w:eastAsia="de-DE"/>
        </w:rPr>
        <w:t xml:space="preserve"> Abs. 3 BGB), wenn nur der Höchstbetrag, bis zu dem das </w:t>
      </w:r>
      <w:hyperlink r:id="rId54" w:tooltip="Grundstück" w:history="1">
        <w:r w:rsidRPr="00EB03C9">
          <w:rPr>
            <w:rFonts w:ascii="Times New Roman" w:eastAsia="Times New Roman" w:hAnsi="Times New Roman" w:cs="Times New Roman"/>
            <w:color w:val="0000FF"/>
            <w:sz w:val="24"/>
            <w:szCs w:val="24"/>
            <w:u w:val="single"/>
            <w:lang w:eastAsia="de-DE"/>
          </w:rPr>
          <w:t>Grundstück</w:t>
        </w:r>
      </w:hyperlink>
      <w:r w:rsidRPr="00EB03C9">
        <w:rPr>
          <w:rFonts w:ascii="Times New Roman" w:eastAsia="Times New Roman" w:hAnsi="Times New Roman" w:cs="Times New Roman"/>
          <w:sz w:val="24"/>
          <w:szCs w:val="24"/>
          <w:lang w:eastAsia="de-DE"/>
        </w:rPr>
        <w:t xml:space="preserve"> haften soll, festgelegt und in das </w:t>
      </w:r>
      <w:hyperlink r:id="rId55" w:tooltip="Grundbuch" w:history="1">
        <w:r w:rsidRPr="00EB03C9">
          <w:rPr>
            <w:rFonts w:ascii="Times New Roman" w:eastAsia="Times New Roman" w:hAnsi="Times New Roman" w:cs="Times New Roman"/>
            <w:color w:val="0000FF"/>
            <w:sz w:val="24"/>
            <w:szCs w:val="24"/>
            <w:u w:val="single"/>
            <w:lang w:eastAsia="de-DE"/>
          </w:rPr>
          <w:t>Grundbuch</w:t>
        </w:r>
      </w:hyperlink>
      <w:r w:rsidRPr="00EB03C9">
        <w:rPr>
          <w:rFonts w:ascii="Times New Roman" w:eastAsia="Times New Roman" w:hAnsi="Times New Roman" w:cs="Times New Roman"/>
          <w:sz w:val="24"/>
          <w:szCs w:val="24"/>
          <w:lang w:eastAsia="de-DE"/>
        </w:rPr>
        <w:t xml:space="preserve"> eingetragen wird, der genaue Umfang der Hypothek jedoch der späteren Feststellung der gesicherten Forderung vorbehalten bleibt.</w:t>
      </w:r>
    </w:p>
    <w:p w:rsidR="00EB03C9" w:rsidRPr="00EB03C9" w:rsidRDefault="00EB03C9" w:rsidP="00EB03C9">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EB03C9">
        <w:rPr>
          <w:rFonts w:ascii="Times New Roman" w:eastAsia="Times New Roman" w:hAnsi="Times New Roman" w:cs="Times New Roman"/>
          <w:sz w:val="24"/>
          <w:szCs w:val="24"/>
          <w:lang w:eastAsia="de-DE"/>
        </w:rPr>
        <w:t xml:space="preserve">Im </w:t>
      </w:r>
      <w:hyperlink r:id="rId56" w:tooltip="Zwangsvollstreckungsrecht (Deutschland)" w:history="1">
        <w:r w:rsidRPr="00EB03C9">
          <w:rPr>
            <w:rFonts w:ascii="Times New Roman" w:eastAsia="Times New Roman" w:hAnsi="Times New Roman" w:cs="Times New Roman"/>
            <w:color w:val="0000FF"/>
            <w:sz w:val="24"/>
            <w:szCs w:val="24"/>
            <w:u w:val="single"/>
            <w:lang w:eastAsia="de-DE"/>
          </w:rPr>
          <w:t>Zwangsvollstreckungsrecht</w:t>
        </w:r>
      </w:hyperlink>
      <w:r w:rsidRPr="00EB03C9">
        <w:rPr>
          <w:rFonts w:ascii="Times New Roman" w:eastAsia="Times New Roman" w:hAnsi="Times New Roman" w:cs="Times New Roman"/>
          <w:sz w:val="24"/>
          <w:szCs w:val="24"/>
          <w:lang w:eastAsia="de-DE"/>
        </w:rPr>
        <w:t xml:space="preserve"> gibt es die </w:t>
      </w:r>
    </w:p>
    <w:p w:rsidR="00EB03C9" w:rsidRPr="00EB03C9" w:rsidRDefault="00EB03C9" w:rsidP="00EB03C9">
      <w:pPr>
        <w:numPr>
          <w:ilvl w:val="1"/>
          <w:numId w:val="2"/>
        </w:numPr>
        <w:spacing w:before="100" w:beforeAutospacing="1" w:after="100" w:afterAutospacing="1" w:line="240" w:lineRule="auto"/>
        <w:rPr>
          <w:rFonts w:ascii="Times New Roman" w:eastAsia="Times New Roman" w:hAnsi="Times New Roman" w:cs="Times New Roman"/>
          <w:sz w:val="24"/>
          <w:szCs w:val="24"/>
          <w:lang w:eastAsia="de-DE"/>
        </w:rPr>
      </w:pPr>
      <w:hyperlink r:id="rId57" w:tooltip="Zwangshypothek" w:history="1">
        <w:r w:rsidRPr="00EB03C9">
          <w:rPr>
            <w:rFonts w:ascii="Times New Roman" w:eastAsia="Times New Roman" w:hAnsi="Times New Roman" w:cs="Times New Roman"/>
            <w:color w:val="0000FF"/>
            <w:sz w:val="24"/>
            <w:szCs w:val="24"/>
            <w:u w:val="single"/>
            <w:lang w:eastAsia="de-DE"/>
          </w:rPr>
          <w:t>Zwangshypothek</w:t>
        </w:r>
      </w:hyperlink>
      <w:r w:rsidRPr="00EB03C9">
        <w:rPr>
          <w:rFonts w:ascii="Times New Roman" w:eastAsia="Times New Roman" w:hAnsi="Times New Roman" w:cs="Times New Roman"/>
          <w:sz w:val="24"/>
          <w:szCs w:val="24"/>
          <w:lang w:eastAsia="de-DE"/>
        </w:rPr>
        <w:t xml:space="preserve">: Nach </w:t>
      </w:r>
      <w:hyperlink r:id="rId58" w:history="1">
        <w:r w:rsidRPr="00EB03C9">
          <w:rPr>
            <w:rFonts w:ascii="Times New Roman" w:eastAsia="Times New Roman" w:hAnsi="Times New Roman" w:cs="Times New Roman"/>
            <w:color w:val="0000FF"/>
            <w:sz w:val="24"/>
            <w:szCs w:val="24"/>
            <w:u w:val="single"/>
            <w:lang w:eastAsia="de-DE"/>
          </w:rPr>
          <w:t>§ 866</w:t>
        </w:r>
      </w:hyperlink>
      <w:r w:rsidRPr="00EB03C9">
        <w:rPr>
          <w:rFonts w:ascii="Times New Roman" w:eastAsia="Times New Roman" w:hAnsi="Times New Roman" w:cs="Times New Roman"/>
          <w:sz w:val="24"/>
          <w:szCs w:val="24"/>
          <w:lang w:eastAsia="de-DE"/>
        </w:rPr>
        <w:t xml:space="preserve"> Abs. 1 </w:t>
      </w:r>
      <w:hyperlink r:id="rId59" w:tooltip="Zivilprozessordnung (Deutschland)" w:history="1">
        <w:r w:rsidRPr="00EB03C9">
          <w:rPr>
            <w:rFonts w:ascii="Times New Roman" w:eastAsia="Times New Roman" w:hAnsi="Times New Roman" w:cs="Times New Roman"/>
            <w:color w:val="0000FF"/>
            <w:sz w:val="24"/>
            <w:szCs w:val="24"/>
            <w:u w:val="single"/>
            <w:lang w:eastAsia="de-DE"/>
          </w:rPr>
          <w:t>ZPO</w:t>
        </w:r>
      </w:hyperlink>
      <w:r w:rsidRPr="00EB03C9">
        <w:rPr>
          <w:rFonts w:ascii="Times New Roman" w:eastAsia="Times New Roman" w:hAnsi="Times New Roman" w:cs="Times New Roman"/>
          <w:sz w:val="24"/>
          <w:szCs w:val="24"/>
          <w:lang w:eastAsia="de-DE"/>
        </w:rPr>
        <w:t xml:space="preserve"> erfolgt die Zwangsvollstreckung in ein Grundstück auf drei Arten, nämlich durch </w:t>
      </w:r>
      <w:hyperlink r:id="rId60" w:tooltip="Zwangsversteigerung (Deutschland)" w:history="1">
        <w:r w:rsidRPr="00EB03C9">
          <w:rPr>
            <w:rFonts w:ascii="Times New Roman" w:eastAsia="Times New Roman" w:hAnsi="Times New Roman" w:cs="Times New Roman"/>
            <w:color w:val="0000FF"/>
            <w:sz w:val="24"/>
            <w:szCs w:val="24"/>
            <w:u w:val="single"/>
            <w:lang w:eastAsia="de-DE"/>
          </w:rPr>
          <w:t>Zwangsversteigerung</w:t>
        </w:r>
      </w:hyperlink>
      <w:r w:rsidRPr="00EB03C9">
        <w:rPr>
          <w:rFonts w:ascii="Times New Roman" w:eastAsia="Times New Roman" w:hAnsi="Times New Roman" w:cs="Times New Roman"/>
          <w:sz w:val="24"/>
          <w:szCs w:val="24"/>
          <w:lang w:eastAsia="de-DE"/>
        </w:rPr>
        <w:t xml:space="preserve">, </w:t>
      </w:r>
      <w:hyperlink r:id="rId61" w:tooltip="Zwangsverwaltung" w:history="1">
        <w:r w:rsidRPr="00EB03C9">
          <w:rPr>
            <w:rFonts w:ascii="Times New Roman" w:eastAsia="Times New Roman" w:hAnsi="Times New Roman" w:cs="Times New Roman"/>
            <w:color w:val="0000FF"/>
            <w:sz w:val="24"/>
            <w:szCs w:val="24"/>
            <w:u w:val="single"/>
            <w:lang w:eastAsia="de-DE"/>
          </w:rPr>
          <w:t>Zwangsverwaltung</w:t>
        </w:r>
      </w:hyperlink>
      <w:r w:rsidRPr="00EB03C9">
        <w:rPr>
          <w:rFonts w:ascii="Times New Roman" w:eastAsia="Times New Roman" w:hAnsi="Times New Roman" w:cs="Times New Roman"/>
          <w:sz w:val="24"/>
          <w:szCs w:val="24"/>
          <w:lang w:eastAsia="de-DE"/>
        </w:rPr>
        <w:t xml:space="preserve"> oder durch Eintragung einer Sicherungshypothek für die Forderung. Auf Antrag des </w:t>
      </w:r>
      <w:hyperlink r:id="rId62" w:tooltip="Gläubiger" w:history="1">
        <w:r w:rsidRPr="00EB03C9">
          <w:rPr>
            <w:rFonts w:ascii="Times New Roman" w:eastAsia="Times New Roman" w:hAnsi="Times New Roman" w:cs="Times New Roman"/>
            <w:color w:val="0000FF"/>
            <w:sz w:val="24"/>
            <w:szCs w:val="24"/>
            <w:u w:val="single"/>
            <w:lang w:eastAsia="de-DE"/>
          </w:rPr>
          <w:t>Gläubigers</w:t>
        </w:r>
      </w:hyperlink>
      <w:r w:rsidRPr="00EB03C9">
        <w:rPr>
          <w:rFonts w:ascii="Times New Roman" w:eastAsia="Times New Roman" w:hAnsi="Times New Roman" w:cs="Times New Roman"/>
          <w:sz w:val="24"/>
          <w:szCs w:val="24"/>
          <w:lang w:eastAsia="de-DE"/>
        </w:rPr>
        <w:t xml:space="preserve"> trägt das </w:t>
      </w:r>
      <w:hyperlink r:id="rId63" w:tooltip="Grundbuchamt" w:history="1">
        <w:r w:rsidRPr="00EB03C9">
          <w:rPr>
            <w:rFonts w:ascii="Times New Roman" w:eastAsia="Times New Roman" w:hAnsi="Times New Roman" w:cs="Times New Roman"/>
            <w:color w:val="0000FF"/>
            <w:sz w:val="24"/>
            <w:szCs w:val="24"/>
            <w:u w:val="single"/>
            <w:lang w:eastAsia="de-DE"/>
          </w:rPr>
          <w:t>Grundbuchamt</w:t>
        </w:r>
      </w:hyperlink>
      <w:r w:rsidRPr="00EB03C9">
        <w:rPr>
          <w:rFonts w:ascii="Times New Roman" w:eastAsia="Times New Roman" w:hAnsi="Times New Roman" w:cs="Times New Roman"/>
          <w:sz w:val="24"/>
          <w:szCs w:val="24"/>
          <w:lang w:eastAsia="de-DE"/>
        </w:rPr>
        <w:t xml:space="preserve"> die Zwangshypothek auf der Grundlage eines </w:t>
      </w:r>
      <w:hyperlink r:id="rId64" w:tooltip="Vollstreckungstitel (Deutschland)" w:history="1">
        <w:r w:rsidRPr="00EB03C9">
          <w:rPr>
            <w:rFonts w:ascii="Times New Roman" w:eastAsia="Times New Roman" w:hAnsi="Times New Roman" w:cs="Times New Roman"/>
            <w:color w:val="0000FF"/>
            <w:sz w:val="24"/>
            <w:szCs w:val="24"/>
            <w:u w:val="single"/>
            <w:lang w:eastAsia="de-DE"/>
          </w:rPr>
          <w:t>vollstreckbaren Titels</w:t>
        </w:r>
      </w:hyperlink>
      <w:r w:rsidRPr="00EB03C9">
        <w:rPr>
          <w:rFonts w:ascii="Times New Roman" w:eastAsia="Times New Roman" w:hAnsi="Times New Roman" w:cs="Times New Roman"/>
          <w:sz w:val="24"/>
          <w:szCs w:val="24"/>
          <w:lang w:eastAsia="de-DE"/>
        </w:rPr>
        <w:t xml:space="preserve"> ein (</w:t>
      </w:r>
      <w:hyperlink r:id="rId65" w:history="1">
        <w:r w:rsidRPr="00EB03C9">
          <w:rPr>
            <w:rFonts w:ascii="Times New Roman" w:eastAsia="Times New Roman" w:hAnsi="Times New Roman" w:cs="Times New Roman"/>
            <w:color w:val="0000FF"/>
            <w:sz w:val="24"/>
            <w:szCs w:val="24"/>
            <w:u w:val="single"/>
            <w:lang w:eastAsia="de-DE"/>
          </w:rPr>
          <w:t>§ 867</w:t>
        </w:r>
      </w:hyperlink>
      <w:r w:rsidRPr="00EB03C9">
        <w:rPr>
          <w:rFonts w:ascii="Times New Roman" w:eastAsia="Times New Roman" w:hAnsi="Times New Roman" w:cs="Times New Roman"/>
          <w:sz w:val="24"/>
          <w:szCs w:val="24"/>
          <w:lang w:eastAsia="de-DE"/>
        </w:rPr>
        <w:t xml:space="preserve"> Abs. 1 ZPO).</w:t>
      </w:r>
    </w:p>
    <w:p w:rsidR="00EB03C9" w:rsidRPr="00EB03C9" w:rsidRDefault="00EB03C9" w:rsidP="00EB03C9">
      <w:pPr>
        <w:numPr>
          <w:ilvl w:val="1"/>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EB03C9">
        <w:rPr>
          <w:rFonts w:ascii="Times New Roman" w:eastAsia="Times New Roman" w:hAnsi="Times New Roman" w:cs="Times New Roman"/>
          <w:i/>
          <w:iCs/>
          <w:sz w:val="24"/>
          <w:szCs w:val="24"/>
          <w:lang w:eastAsia="de-DE"/>
        </w:rPr>
        <w:t>Arresthypothek</w:t>
      </w:r>
      <w:r w:rsidRPr="00EB03C9">
        <w:rPr>
          <w:rFonts w:ascii="Times New Roman" w:eastAsia="Times New Roman" w:hAnsi="Times New Roman" w:cs="Times New Roman"/>
          <w:sz w:val="24"/>
          <w:szCs w:val="24"/>
          <w:lang w:eastAsia="de-DE"/>
        </w:rPr>
        <w:t>: ist eine Höchstbetragshypothek, die nicht zur Befriedigung des Gläubigers dient, sondern zur Sicherung der Zwangsvollstreckung in das unbewegliche Vermögen wegen einer Geldforderung (§</w:t>
      </w:r>
      <w:hyperlink r:id="rId66" w:history="1">
        <w:r w:rsidRPr="00EB03C9">
          <w:rPr>
            <w:rFonts w:ascii="Times New Roman" w:eastAsia="Times New Roman" w:hAnsi="Times New Roman" w:cs="Times New Roman"/>
            <w:color w:val="0000FF"/>
            <w:sz w:val="24"/>
            <w:szCs w:val="24"/>
            <w:u w:val="single"/>
            <w:lang w:eastAsia="de-DE"/>
          </w:rPr>
          <w:t>§ 932</w:t>
        </w:r>
      </w:hyperlink>
      <w:r w:rsidRPr="00EB03C9">
        <w:rPr>
          <w:rFonts w:ascii="Times New Roman" w:eastAsia="Times New Roman" w:hAnsi="Times New Roman" w:cs="Times New Roman"/>
          <w:sz w:val="24"/>
          <w:szCs w:val="24"/>
          <w:lang w:eastAsia="de-DE"/>
        </w:rPr>
        <w:t xml:space="preserve">, </w:t>
      </w:r>
      <w:hyperlink r:id="rId67" w:history="1">
        <w:r w:rsidRPr="00EB03C9">
          <w:rPr>
            <w:rFonts w:ascii="Times New Roman" w:eastAsia="Times New Roman" w:hAnsi="Times New Roman" w:cs="Times New Roman"/>
            <w:color w:val="0000FF"/>
            <w:sz w:val="24"/>
            <w:szCs w:val="24"/>
            <w:u w:val="single"/>
            <w:lang w:eastAsia="de-DE"/>
          </w:rPr>
          <w:t>§ 916</w:t>
        </w:r>
      </w:hyperlink>
      <w:r w:rsidRPr="00EB03C9">
        <w:rPr>
          <w:rFonts w:ascii="Times New Roman" w:eastAsia="Times New Roman" w:hAnsi="Times New Roman" w:cs="Times New Roman"/>
          <w:sz w:val="24"/>
          <w:szCs w:val="24"/>
          <w:lang w:eastAsia="de-DE"/>
        </w:rPr>
        <w:t xml:space="preserve"> Abs. 1 ZPO).</w:t>
      </w:r>
    </w:p>
    <w:p w:rsidR="00EB03C9" w:rsidRPr="00EB03C9" w:rsidRDefault="00EB03C9" w:rsidP="00EB03C9">
      <w:pPr>
        <w:numPr>
          <w:ilvl w:val="1"/>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EB03C9">
        <w:rPr>
          <w:rFonts w:ascii="Times New Roman" w:eastAsia="Times New Roman" w:hAnsi="Times New Roman" w:cs="Times New Roman"/>
          <w:i/>
          <w:iCs/>
          <w:sz w:val="24"/>
          <w:szCs w:val="24"/>
          <w:lang w:eastAsia="de-DE"/>
        </w:rPr>
        <w:t>Sicherungshypothek kraft Surrogation</w:t>
      </w:r>
      <w:r w:rsidRPr="00EB03C9">
        <w:rPr>
          <w:rFonts w:ascii="Times New Roman" w:eastAsia="Times New Roman" w:hAnsi="Times New Roman" w:cs="Times New Roman"/>
          <w:sz w:val="24"/>
          <w:szCs w:val="24"/>
          <w:lang w:eastAsia="de-DE"/>
        </w:rPr>
        <w:t xml:space="preserve"> (</w:t>
      </w:r>
      <w:hyperlink r:id="rId68" w:history="1">
        <w:r w:rsidRPr="00EB03C9">
          <w:rPr>
            <w:rFonts w:ascii="Times New Roman" w:eastAsia="Times New Roman" w:hAnsi="Times New Roman" w:cs="Times New Roman"/>
            <w:color w:val="0000FF"/>
            <w:sz w:val="24"/>
            <w:szCs w:val="24"/>
            <w:u w:val="single"/>
            <w:lang w:eastAsia="de-DE"/>
          </w:rPr>
          <w:t>§ 848</w:t>
        </w:r>
      </w:hyperlink>
      <w:r w:rsidRPr="00EB03C9">
        <w:rPr>
          <w:rFonts w:ascii="Times New Roman" w:eastAsia="Times New Roman" w:hAnsi="Times New Roman" w:cs="Times New Roman"/>
          <w:sz w:val="24"/>
          <w:szCs w:val="24"/>
          <w:lang w:eastAsia="de-DE"/>
        </w:rPr>
        <w:t xml:space="preserve"> Abs. 2 Satz 2 ZPO): Die </w:t>
      </w:r>
      <w:hyperlink r:id="rId69" w:tooltip="Surrogation" w:history="1">
        <w:r w:rsidRPr="00EB03C9">
          <w:rPr>
            <w:rFonts w:ascii="Times New Roman" w:eastAsia="Times New Roman" w:hAnsi="Times New Roman" w:cs="Times New Roman"/>
            <w:color w:val="0000FF"/>
            <w:sz w:val="24"/>
            <w:szCs w:val="24"/>
            <w:u w:val="single"/>
            <w:lang w:eastAsia="de-DE"/>
          </w:rPr>
          <w:t>Surrogationshypothek</w:t>
        </w:r>
      </w:hyperlink>
      <w:r w:rsidRPr="00EB03C9">
        <w:rPr>
          <w:rFonts w:ascii="Times New Roman" w:eastAsia="Times New Roman" w:hAnsi="Times New Roman" w:cs="Times New Roman"/>
          <w:sz w:val="24"/>
          <w:szCs w:val="24"/>
          <w:lang w:eastAsia="de-DE"/>
        </w:rPr>
        <w:t xml:space="preserve"> ist die Folge der </w:t>
      </w:r>
      <w:hyperlink r:id="rId70" w:tooltip="Erfüllung (Recht)" w:history="1">
        <w:r w:rsidRPr="00EB03C9">
          <w:rPr>
            <w:rFonts w:ascii="Times New Roman" w:eastAsia="Times New Roman" w:hAnsi="Times New Roman" w:cs="Times New Roman"/>
            <w:color w:val="0000FF"/>
            <w:sz w:val="24"/>
            <w:szCs w:val="24"/>
            <w:u w:val="single"/>
            <w:lang w:eastAsia="de-DE"/>
          </w:rPr>
          <w:t>Erfüllung</w:t>
        </w:r>
      </w:hyperlink>
      <w:r w:rsidRPr="00EB03C9">
        <w:rPr>
          <w:rFonts w:ascii="Times New Roman" w:eastAsia="Times New Roman" w:hAnsi="Times New Roman" w:cs="Times New Roman"/>
          <w:sz w:val="24"/>
          <w:szCs w:val="24"/>
          <w:lang w:eastAsia="de-DE"/>
        </w:rPr>
        <w:t xml:space="preserve"> eines </w:t>
      </w:r>
      <w:hyperlink r:id="rId71" w:tooltip="Verpfändung" w:history="1">
        <w:r w:rsidRPr="00EB03C9">
          <w:rPr>
            <w:rFonts w:ascii="Times New Roman" w:eastAsia="Times New Roman" w:hAnsi="Times New Roman" w:cs="Times New Roman"/>
            <w:color w:val="0000FF"/>
            <w:sz w:val="24"/>
            <w:szCs w:val="24"/>
            <w:u w:val="single"/>
            <w:lang w:eastAsia="de-DE"/>
          </w:rPr>
          <w:t>verpfändeten</w:t>
        </w:r>
      </w:hyperlink>
      <w:r w:rsidRPr="00EB03C9">
        <w:rPr>
          <w:rFonts w:ascii="Times New Roman" w:eastAsia="Times New Roman" w:hAnsi="Times New Roman" w:cs="Times New Roman"/>
          <w:sz w:val="24"/>
          <w:szCs w:val="24"/>
          <w:lang w:eastAsia="de-DE"/>
        </w:rPr>
        <w:t xml:space="preserve"> oder </w:t>
      </w:r>
      <w:hyperlink r:id="rId72" w:tooltip="Pfändung" w:history="1">
        <w:r w:rsidRPr="00EB03C9">
          <w:rPr>
            <w:rFonts w:ascii="Times New Roman" w:eastAsia="Times New Roman" w:hAnsi="Times New Roman" w:cs="Times New Roman"/>
            <w:color w:val="0000FF"/>
            <w:sz w:val="24"/>
            <w:szCs w:val="24"/>
            <w:u w:val="single"/>
            <w:lang w:eastAsia="de-DE"/>
          </w:rPr>
          <w:t>gepfändeten</w:t>
        </w:r>
      </w:hyperlink>
      <w:r w:rsidRPr="00EB03C9">
        <w:rPr>
          <w:rFonts w:ascii="Times New Roman" w:eastAsia="Times New Roman" w:hAnsi="Times New Roman" w:cs="Times New Roman"/>
          <w:sz w:val="24"/>
          <w:szCs w:val="24"/>
          <w:lang w:eastAsia="de-DE"/>
        </w:rPr>
        <w:t xml:space="preserve"> Anspruchs auf </w:t>
      </w:r>
      <w:hyperlink r:id="rId73" w:tooltip="Übereignung" w:history="1">
        <w:r w:rsidRPr="00EB03C9">
          <w:rPr>
            <w:rFonts w:ascii="Times New Roman" w:eastAsia="Times New Roman" w:hAnsi="Times New Roman" w:cs="Times New Roman"/>
            <w:color w:val="0000FF"/>
            <w:sz w:val="24"/>
            <w:szCs w:val="24"/>
            <w:u w:val="single"/>
            <w:lang w:eastAsia="de-DE"/>
          </w:rPr>
          <w:t>Übereignung</w:t>
        </w:r>
      </w:hyperlink>
      <w:r w:rsidRPr="00EB03C9">
        <w:rPr>
          <w:rFonts w:ascii="Times New Roman" w:eastAsia="Times New Roman" w:hAnsi="Times New Roman" w:cs="Times New Roman"/>
          <w:sz w:val="24"/>
          <w:szCs w:val="24"/>
          <w:lang w:eastAsia="de-DE"/>
        </w:rPr>
        <w:t xml:space="preserve"> eines Grundstücks oder </w:t>
      </w:r>
      <w:hyperlink r:id="rId74" w:tooltip="Schiff" w:history="1">
        <w:r w:rsidRPr="00EB03C9">
          <w:rPr>
            <w:rFonts w:ascii="Times New Roman" w:eastAsia="Times New Roman" w:hAnsi="Times New Roman" w:cs="Times New Roman"/>
            <w:color w:val="0000FF"/>
            <w:sz w:val="24"/>
            <w:szCs w:val="24"/>
            <w:u w:val="single"/>
            <w:lang w:eastAsia="de-DE"/>
          </w:rPr>
          <w:t>Schiffs</w:t>
        </w:r>
      </w:hyperlink>
      <w:r w:rsidRPr="00EB03C9">
        <w:rPr>
          <w:rFonts w:ascii="Times New Roman" w:eastAsia="Times New Roman" w:hAnsi="Times New Roman" w:cs="Times New Roman"/>
          <w:sz w:val="24"/>
          <w:szCs w:val="24"/>
          <w:lang w:eastAsia="de-DE"/>
        </w:rPr>
        <w:t xml:space="preserve"> (</w:t>
      </w:r>
      <w:hyperlink r:id="rId75" w:history="1">
        <w:r w:rsidRPr="00EB03C9">
          <w:rPr>
            <w:rFonts w:ascii="Times New Roman" w:eastAsia="Times New Roman" w:hAnsi="Times New Roman" w:cs="Times New Roman"/>
            <w:color w:val="0000FF"/>
            <w:sz w:val="24"/>
            <w:szCs w:val="24"/>
            <w:u w:val="single"/>
            <w:lang w:eastAsia="de-DE"/>
          </w:rPr>
          <w:t>§ 1287</w:t>
        </w:r>
      </w:hyperlink>
      <w:r w:rsidRPr="00EB03C9">
        <w:rPr>
          <w:rFonts w:ascii="Times New Roman" w:eastAsia="Times New Roman" w:hAnsi="Times New Roman" w:cs="Times New Roman"/>
          <w:sz w:val="24"/>
          <w:szCs w:val="24"/>
          <w:lang w:eastAsia="de-DE"/>
        </w:rPr>
        <w:t xml:space="preserve"> Satz 2 BGB). Sie entsteht im Zeitpunkt des Eigentumsübergangs und ersetzt den bei </w:t>
      </w:r>
      <w:hyperlink r:id="rId76" w:tooltip="Bewegliche Sache" w:history="1">
        <w:r w:rsidRPr="00EB03C9">
          <w:rPr>
            <w:rFonts w:ascii="Times New Roman" w:eastAsia="Times New Roman" w:hAnsi="Times New Roman" w:cs="Times New Roman"/>
            <w:color w:val="0000FF"/>
            <w:sz w:val="24"/>
            <w:szCs w:val="24"/>
            <w:u w:val="single"/>
            <w:lang w:eastAsia="de-DE"/>
          </w:rPr>
          <w:t>beweglichen Sachen</w:t>
        </w:r>
      </w:hyperlink>
      <w:r w:rsidRPr="00EB03C9">
        <w:rPr>
          <w:rFonts w:ascii="Times New Roman" w:eastAsia="Times New Roman" w:hAnsi="Times New Roman" w:cs="Times New Roman"/>
          <w:sz w:val="24"/>
          <w:szCs w:val="24"/>
          <w:lang w:eastAsia="de-DE"/>
        </w:rPr>
        <w:t xml:space="preserve"> vorgesehenen </w:t>
      </w:r>
      <w:hyperlink r:id="rId77" w:tooltip="Herausgabeanspruch" w:history="1">
        <w:r w:rsidRPr="00EB03C9">
          <w:rPr>
            <w:rFonts w:ascii="Times New Roman" w:eastAsia="Times New Roman" w:hAnsi="Times New Roman" w:cs="Times New Roman"/>
            <w:color w:val="0000FF"/>
            <w:sz w:val="24"/>
            <w:szCs w:val="24"/>
            <w:u w:val="single"/>
            <w:lang w:eastAsia="de-DE"/>
          </w:rPr>
          <w:t>Herausgabeanspruch</w:t>
        </w:r>
      </w:hyperlink>
      <w:r w:rsidRPr="00EB03C9">
        <w:rPr>
          <w:rFonts w:ascii="Times New Roman" w:eastAsia="Times New Roman" w:hAnsi="Times New Roman" w:cs="Times New Roman"/>
          <w:sz w:val="24"/>
          <w:szCs w:val="24"/>
          <w:lang w:eastAsia="de-DE"/>
        </w:rPr>
        <w:t xml:space="preserve"> des Gläubigers (§</w:t>
      </w:r>
      <w:hyperlink r:id="rId78" w:history="1">
        <w:r w:rsidRPr="00EB03C9">
          <w:rPr>
            <w:rFonts w:ascii="Times New Roman" w:eastAsia="Times New Roman" w:hAnsi="Times New Roman" w:cs="Times New Roman"/>
            <w:color w:val="0000FF"/>
            <w:sz w:val="24"/>
            <w:szCs w:val="24"/>
            <w:u w:val="single"/>
            <w:lang w:eastAsia="de-DE"/>
          </w:rPr>
          <w:t>§ 848</w:t>
        </w:r>
      </w:hyperlink>
      <w:r w:rsidRPr="00EB03C9">
        <w:rPr>
          <w:rFonts w:ascii="Times New Roman" w:eastAsia="Times New Roman" w:hAnsi="Times New Roman" w:cs="Times New Roman"/>
          <w:sz w:val="24"/>
          <w:szCs w:val="24"/>
          <w:lang w:eastAsia="de-DE"/>
        </w:rPr>
        <w:t xml:space="preserve"> Abs. 2, </w:t>
      </w:r>
      <w:hyperlink r:id="rId79" w:history="1">
        <w:r w:rsidRPr="00EB03C9">
          <w:rPr>
            <w:rFonts w:ascii="Times New Roman" w:eastAsia="Times New Roman" w:hAnsi="Times New Roman" w:cs="Times New Roman"/>
            <w:color w:val="0000FF"/>
            <w:sz w:val="24"/>
            <w:szCs w:val="24"/>
            <w:u w:val="single"/>
            <w:lang w:eastAsia="de-DE"/>
          </w:rPr>
          <w:t>§ 847a</w:t>
        </w:r>
      </w:hyperlink>
      <w:r w:rsidRPr="00EB03C9">
        <w:rPr>
          <w:rFonts w:ascii="Times New Roman" w:eastAsia="Times New Roman" w:hAnsi="Times New Roman" w:cs="Times New Roman"/>
          <w:sz w:val="24"/>
          <w:szCs w:val="24"/>
          <w:lang w:eastAsia="de-DE"/>
        </w:rPr>
        <w:t xml:space="preserve"> Abs. 2 ZPO).</w:t>
      </w:r>
    </w:p>
    <w:p w:rsidR="00EB03C9" w:rsidRPr="00EB03C9" w:rsidRDefault="00EB03C9" w:rsidP="00EB03C9">
      <w:pPr>
        <w:numPr>
          <w:ilvl w:val="1"/>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EB03C9">
        <w:rPr>
          <w:rFonts w:ascii="Times New Roman" w:eastAsia="Times New Roman" w:hAnsi="Times New Roman" w:cs="Times New Roman"/>
          <w:i/>
          <w:iCs/>
          <w:sz w:val="24"/>
          <w:szCs w:val="24"/>
          <w:lang w:eastAsia="de-DE"/>
        </w:rPr>
        <w:t>Sicherungshypothek gegen den Ersteher des Grundstücks in der Zwangsversteigerung</w:t>
      </w:r>
      <w:r w:rsidRPr="00EB03C9">
        <w:rPr>
          <w:rFonts w:ascii="Times New Roman" w:eastAsia="Times New Roman" w:hAnsi="Times New Roman" w:cs="Times New Roman"/>
          <w:sz w:val="24"/>
          <w:szCs w:val="24"/>
          <w:lang w:eastAsia="de-DE"/>
        </w:rPr>
        <w:t xml:space="preserve">: Erbringt der Ersteher das </w:t>
      </w:r>
      <w:hyperlink r:id="rId80" w:anchor="Bargebot" w:tooltip="Geringstes Gebot" w:history="1">
        <w:proofErr w:type="spellStart"/>
        <w:r w:rsidRPr="00EB03C9">
          <w:rPr>
            <w:rFonts w:ascii="Times New Roman" w:eastAsia="Times New Roman" w:hAnsi="Times New Roman" w:cs="Times New Roman"/>
            <w:color w:val="0000FF"/>
            <w:sz w:val="24"/>
            <w:szCs w:val="24"/>
            <w:u w:val="single"/>
            <w:lang w:eastAsia="de-DE"/>
          </w:rPr>
          <w:t>Bargebot</w:t>
        </w:r>
        <w:proofErr w:type="spellEnd"/>
      </w:hyperlink>
      <w:r w:rsidRPr="00EB03C9">
        <w:rPr>
          <w:rFonts w:ascii="Times New Roman" w:eastAsia="Times New Roman" w:hAnsi="Times New Roman" w:cs="Times New Roman"/>
          <w:sz w:val="24"/>
          <w:szCs w:val="24"/>
          <w:lang w:eastAsia="de-DE"/>
        </w:rPr>
        <w:t xml:space="preserve"> im Versteigerungstermin nicht, wird diese Forderung gegen den Ersteher auf die Berechtigten übertragen (</w:t>
      </w:r>
      <w:hyperlink r:id="rId81" w:history="1">
        <w:r w:rsidRPr="00EB03C9">
          <w:rPr>
            <w:rFonts w:ascii="Times New Roman" w:eastAsia="Times New Roman" w:hAnsi="Times New Roman" w:cs="Times New Roman"/>
            <w:color w:val="0000FF"/>
            <w:sz w:val="24"/>
            <w:szCs w:val="24"/>
            <w:u w:val="single"/>
            <w:lang w:eastAsia="de-DE"/>
          </w:rPr>
          <w:t>§ 118</w:t>
        </w:r>
      </w:hyperlink>
      <w:r w:rsidRPr="00EB03C9">
        <w:rPr>
          <w:rFonts w:ascii="Times New Roman" w:eastAsia="Times New Roman" w:hAnsi="Times New Roman" w:cs="Times New Roman"/>
          <w:sz w:val="24"/>
          <w:szCs w:val="24"/>
          <w:lang w:eastAsia="de-DE"/>
        </w:rPr>
        <w:t xml:space="preserve"> ZVG) und diese Forderung durch Sicherungshypothek auf dem versteigerten Grundstück gesichert (</w:t>
      </w:r>
      <w:hyperlink r:id="rId82" w:history="1">
        <w:r w:rsidRPr="00EB03C9">
          <w:rPr>
            <w:rFonts w:ascii="Times New Roman" w:eastAsia="Times New Roman" w:hAnsi="Times New Roman" w:cs="Times New Roman"/>
            <w:color w:val="0000FF"/>
            <w:sz w:val="24"/>
            <w:szCs w:val="24"/>
            <w:u w:val="single"/>
            <w:lang w:eastAsia="de-DE"/>
          </w:rPr>
          <w:t>§ 128</w:t>
        </w:r>
      </w:hyperlink>
      <w:r w:rsidRPr="00EB03C9">
        <w:rPr>
          <w:rFonts w:ascii="Times New Roman" w:eastAsia="Times New Roman" w:hAnsi="Times New Roman" w:cs="Times New Roman"/>
          <w:sz w:val="24"/>
          <w:szCs w:val="24"/>
          <w:lang w:eastAsia="de-DE"/>
        </w:rPr>
        <w:t xml:space="preserve"> Abs. 1 ZVG).</w:t>
      </w:r>
    </w:p>
    <w:p w:rsidR="00EB03C9" w:rsidRPr="00EB03C9" w:rsidRDefault="00EB03C9" w:rsidP="00EB03C9">
      <w:pPr>
        <w:numPr>
          <w:ilvl w:val="1"/>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EB03C9">
        <w:rPr>
          <w:rFonts w:ascii="Times New Roman" w:eastAsia="Times New Roman" w:hAnsi="Times New Roman" w:cs="Times New Roman"/>
          <w:i/>
          <w:iCs/>
          <w:sz w:val="24"/>
          <w:szCs w:val="24"/>
          <w:lang w:eastAsia="de-DE"/>
        </w:rPr>
        <w:t>Die steuerrechtliche Zwangshypothek</w:t>
      </w:r>
      <w:r w:rsidRPr="00EB03C9">
        <w:rPr>
          <w:rFonts w:ascii="Times New Roman" w:eastAsia="Times New Roman" w:hAnsi="Times New Roman" w:cs="Times New Roman"/>
          <w:sz w:val="24"/>
          <w:szCs w:val="24"/>
          <w:lang w:eastAsia="de-DE"/>
        </w:rPr>
        <w:t xml:space="preserve">: Das </w:t>
      </w:r>
      <w:hyperlink r:id="rId83" w:tooltip="Steuerrecht (Deutschland)" w:history="1">
        <w:r w:rsidRPr="00EB03C9">
          <w:rPr>
            <w:rFonts w:ascii="Times New Roman" w:eastAsia="Times New Roman" w:hAnsi="Times New Roman" w:cs="Times New Roman"/>
            <w:color w:val="0000FF"/>
            <w:sz w:val="24"/>
            <w:szCs w:val="24"/>
            <w:u w:val="single"/>
            <w:lang w:eastAsia="de-DE"/>
          </w:rPr>
          <w:t>Steuerrecht</w:t>
        </w:r>
      </w:hyperlink>
      <w:r w:rsidRPr="00EB03C9">
        <w:rPr>
          <w:rFonts w:ascii="Times New Roman" w:eastAsia="Times New Roman" w:hAnsi="Times New Roman" w:cs="Times New Roman"/>
          <w:sz w:val="24"/>
          <w:szCs w:val="24"/>
          <w:lang w:eastAsia="de-DE"/>
        </w:rPr>
        <w:t xml:space="preserve"> bezieht sich in </w:t>
      </w:r>
      <w:hyperlink r:id="rId84" w:history="1">
        <w:r w:rsidRPr="00EB03C9">
          <w:rPr>
            <w:rFonts w:ascii="Times New Roman" w:eastAsia="Times New Roman" w:hAnsi="Times New Roman" w:cs="Times New Roman"/>
            <w:color w:val="0000FF"/>
            <w:sz w:val="24"/>
            <w:szCs w:val="24"/>
            <w:u w:val="single"/>
            <w:lang w:eastAsia="de-DE"/>
          </w:rPr>
          <w:t>§ 322</w:t>
        </w:r>
      </w:hyperlink>
      <w:r w:rsidRPr="00EB03C9">
        <w:rPr>
          <w:rFonts w:ascii="Times New Roman" w:eastAsia="Times New Roman" w:hAnsi="Times New Roman" w:cs="Times New Roman"/>
          <w:sz w:val="24"/>
          <w:szCs w:val="24"/>
          <w:lang w:eastAsia="de-DE"/>
        </w:rPr>
        <w:t xml:space="preserve"> Abs. 1 </w:t>
      </w:r>
      <w:hyperlink r:id="rId85" w:tooltip="Abgabenordnung" w:history="1">
        <w:r w:rsidRPr="00EB03C9">
          <w:rPr>
            <w:rFonts w:ascii="Times New Roman" w:eastAsia="Times New Roman" w:hAnsi="Times New Roman" w:cs="Times New Roman"/>
            <w:color w:val="0000FF"/>
            <w:sz w:val="24"/>
            <w:szCs w:val="24"/>
            <w:u w:val="single"/>
            <w:lang w:eastAsia="de-DE"/>
          </w:rPr>
          <w:t>AO</w:t>
        </w:r>
      </w:hyperlink>
      <w:r w:rsidRPr="00EB03C9">
        <w:rPr>
          <w:rFonts w:ascii="Times New Roman" w:eastAsia="Times New Roman" w:hAnsi="Times New Roman" w:cs="Times New Roman"/>
          <w:sz w:val="24"/>
          <w:szCs w:val="24"/>
          <w:lang w:eastAsia="de-DE"/>
        </w:rPr>
        <w:t xml:space="preserve"> bei der Vollstreckung in das unbewegliche Vermögen des </w:t>
      </w:r>
      <w:hyperlink r:id="rId86" w:tooltip="Steuerpflichtiger" w:history="1">
        <w:r w:rsidRPr="00EB03C9">
          <w:rPr>
            <w:rFonts w:ascii="Times New Roman" w:eastAsia="Times New Roman" w:hAnsi="Times New Roman" w:cs="Times New Roman"/>
            <w:color w:val="0000FF"/>
            <w:sz w:val="24"/>
            <w:szCs w:val="24"/>
            <w:u w:val="single"/>
            <w:lang w:eastAsia="de-DE"/>
          </w:rPr>
          <w:t>Steuerpflichtigen</w:t>
        </w:r>
      </w:hyperlink>
      <w:r w:rsidRPr="00EB03C9">
        <w:rPr>
          <w:rFonts w:ascii="Times New Roman" w:eastAsia="Times New Roman" w:hAnsi="Times New Roman" w:cs="Times New Roman"/>
          <w:sz w:val="24"/>
          <w:szCs w:val="24"/>
          <w:lang w:eastAsia="de-DE"/>
        </w:rPr>
        <w:t xml:space="preserve"> auf die Vorschriften für die Zwangshypothek. Der Staat kann damit rückständigen Steuern des Steuerpflichtigen zunächst durch Zwangshypothek sichern, aber auch – im Falle der Nichtzahlung – durch Grundstücksversteigerung eintreiben.</w:t>
      </w:r>
    </w:p>
    <w:p w:rsidR="00EB03C9" w:rsidRPr="00EB03C9" w:rsidRDefault="00EB03C9" w:rsidP="00EB03C9">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EB03C9">
        <w:rPr>
          <w:rFonts w:ascii="Times New Roman" w:eastAsia="Times New Roman" w:hAnsi="Times New Roman" w:cs="Times New Roman"/>
          <w:b/>
          <w:bCs/>
          <w:sz w:val="36"/>
          <w:szCs w:val="36"/>
          <w:lang w:eastAsia="de-DE"/>
        </w:rPr>
        <w:t>Besonderheiten</w:t>
      </w:r>
    </w:p>
    <w:p w:rsidR="00EB03C9" w:rsidRPr="00EB03C9" w:rsidRDefault="00EB03C9" w:rsidP="00EB03C9">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EB03C9">
        <w:rPr>
          <w:rFonts w:ascii="Times New Roman" w:eastAsia="Times New Roman" w:hAnsi="Times New Roman" w:cs="Times New Roman"/>
          <w:b/>
          <w:bCs/>
          <w:sz w:val="27"/>
          <w:szCs w:val="27"/>
          <w:lang w:eastAsia="de-DE"/>
        </w:rPr>
        <w:t>Nicht verkehrsfähig</w:t>
      </w:r>
    </w:p>
    <w:p w:rsidR="00EB03C9" w:rsidRPr="00EB03C9" w:rsidRDefault="00EB03C9" w:rsidP="00EB03C9">
      <w:pPr>
        <w:spacing w:before="100" w:beforeAutospacing="1" w:after="100" w:afterAutospacing="1" w:line="240" w:lineRule="auto"/>
        <w:rPr>
          <w:rFonts w:ascii="Times New Roman" w:eastAsia="Times New Roman" w:hAnsi="Times New Roman" w:cs="Times New Roman"/>
          <w:sz w:val="24"/>
          <w:szCs w:val="24"/>
          <w:lang w:eastAsia="de-DE"/>
        </w:rPr>
      </w:pPr>
      <w:r w:rsidRPr="00EB03C9">
        <w:rPr>
          <w:rFonts w:ascii="Times New Roman" w:eastAsia="Times New Roman" w:hAnsi="Times New Roman" w:cs="Times New Roman"/>
          <w:sz w:val="24"/>
          <w:szCs w:val="24"/>
          <w:lang w:eastAsia="de-DE"/>
        </w:rPr>
        <w:t xml:space="preserve">Die Sicherungshypothek ist eine reine </w:t>
      </w:r>
      <w:hyperlink r:id="rId87" w:tooltip="Buchhypothek" w:history="1">
        <w:r w:rsidRPr="00EB03C9">
          <w:rPr>
            <w:rFonts w:ascii="Times New Roman" w:eastAsia="Times New Roman" w:hAnsi="Times New Roman" w:cs="Times New Roman"/>
            <w:color w:val="0000FF"/>
            <w:sz w:val="24"/>
            <w:szCs w:val="24"/>
            <w:u w:val="single"/>
            <w:lang w:eastAsia="de-DE"/>
          </w:rPr>
          <w:t>Buchhypothek</w:t>
        </w:r>
      </w:hyperlink>
      <w:r w:rsidRPr="00EB03C9">
        <w:rPr>
          <w:rFonts w:ascii="Times New Roman" w:eastAsia="Times New Roman" w:hAnsi="Times New Roman" w:cs="Times New Roman"/>
          <w:sz w:val="24"/>
          <w:szCs w:val="24"/>
          <w:lang w:eastAsia="de-DE"/>
        </w:rPr>
        <w:t xml:space="preserve"> (</w:t>
      </w:r>
      <w:hyperlink r:id="rId88" w:history="1">
        <w:r w:rsidRPr="00EB03C9">
          <w:rPr>
            <w:rFonts w:ascii="Times New Roman" w:eastAsia="Times New Roman" w:hAnsi="Times New Roman" w:cs="Times New Roman"/>
            <w:color w:val="0000FF"/>
            <w:sz w:val="24"/>
            <w:szCs w:val="24"/>
            <w:u w:val="single"/>
            <w:lang w:eastAsia="de-DE"/>
          </w:rPr>
          <w:t>§ 1185</w:t>
        </w:r>
      </w:hyperlink>
      <w:r w:rsidRPr="00EB03C9">
        <w:rPr>
          <w:rFonts w:ascii="Times New Roman" w:eastAsia="Times New Roman" w:hAnsi="Times New Roman" w:cs="Times New Roman"/>
          <w:sz w:val="24"/>
          <w:szCs w:val="24"/>
          <w:lang w:eastAsia="de-DE"/>
        </w:rPr>
        <w:t xml:space="preserve"> Abs. 1 BGB), über die kein </w:t>
      </w:r>
      <w:hyperlink r:id="rId89" w:tooltip="Hypothekenbrief" w:history="1">
        <w:r w:rsidRPr="00EB03C9">
          <w:rPr>
            <w:rFonts w:ascii="Times New Roman" w:eastAsia="Times New Roman" w:hAnsi="Times New Roman" w:cs="Times New Roman"/>
            <w:color w:val="0000FF"/>
            <w:sz w:val="24"/>
            <w:szCs w:val="24"/>
            <w:u w:val="single"/>
            <w:lang w:eastAsia="de-DE"/>
          </w:rPr>
          <w:t>Hypothekenbrief</w:t>
        </w:r>
      </w:hyperlink>
      <w:r w:rsidRPr="00EB03C9">
        <w:rPr>
          <w:rFonts w:ascii="Times New Roman" w:eastAsia="Times New Roman" w:hAnsi="Times New Roman" w:cs="Times New Roman"/>
          <w:sz w:val="24"/>
          <w:szCs w:val="24"/>
          <w:lang w:eastAsia="de-DE"/>
        </w:rPr>
        <w:t xml:space="preserve"> ausgestellt werden kann. Deshalb ist sie nicht verkehrsfähig, kann also nicht wie eine Briefhypothek übertragen werden. Diese mangelhafte Verkehrsfähigkeit macht sie </w:t>
      </w:r>
      <w:r w:rsidRPr="00EB03C9">
        <w:rPr>
          <w:rFonts w:ascii="Times New Roman" w:eastAsia="Times New Roman" w:hAnsi="Times New Roman" w:cs="Times New Roman"/>
          <w:sz w:val="24"/>
          <w:szCs w:val="24"/>
          <w:lang w:eastAsia="de-DE"/>
        </w:rPr>
        <w:lastRenderedPageBreak/>
        <w:t xml:space="preserve">für </w:t>
      </w:r>
      <w:hyperlink r:id="rId90" w:tooltip="Kreditinstitut" w:history="1">
        <w:r w:rsidRPr="00EB03C9">
          <w:rPr>
            <w:rFonts w:ascii="Times New Roman" w:eastAsia="Times New Roman" w:hAnsi="Times New Roman" w:cs="Times New Roman"/>
            <w:color w:val="0000FF"/>
            <w:sz w:val="24"/>
            <w:szCs w:val="24"/>
            <w:u w:val="single"/>
            <w:lang w:eastAsia="de-DE"/>
          </w:rPr>
          <w:t>Kreditinstitute</w:t>
        </w:r>
      </w:hyperlink>
      <w:r w:rsidRPr="00EB03C9">
        <w:rPr>
          <w:rFonts w:ascii="Times New Roman" w:eastAsia="Times New Roman" w:hAnsi="Times New Roman" w:cs="Times New Roman"/>
          <w:sz w:val="24"/>
          <w:szCs w:val="24"/>
          <w:lang w:eastAsia="de-DE"/>
        </w:rPr>
        <w:t xml:space="preserve"> zu keinem geeigneten </w:t>
      </w:r>
      <w:hyperlink r:id="rId91" w:tooltip="Kreditsicherungsrecht (Deutschland)" w:history="1">
        <w:r w:rsidRPr="00EB03C9">
          <w:rPr>
            <w:rFonts w:ascii="Times New Roman" w:eastAsia="Times New Roman" w:hAnsi="Times New Roman" w:cs="Times New Roman"/>
            <w:color w:val="0000FF"/>
            <w:sz w:val="24"/>
            <w:szCs w:val="24"/>
            <w:u w:val="single"/>
            <w:lang w:eastAsia="de-DE"/>
          </w:rPr>
          <w:t>Kreditsicherungsmittel</w:t>
        </w:r>
      </w:hyperlink>
      <w:r w:rsidRPr="00EB03C9">
        <w:rPr>
          <w:rFonts w:ascii="Times New Roman" w:eastAsia="Times New Roman" w:hAnsi="Times New Roman" w:cs="Times New Roman"/>
          <w:sz w:val="24"/>
          <w:szCs w:val="24"/>
          <w:lang w:eastAsia="de-DE"/>
        </w:rPr>
        <w:t>, auch die §</w:t>
      </w:r>
      <w:hyperlink r:id="rId92" w:history="1">
        <w:r w:rsidRPr="00EB03C9">
          <w:rPr>
            <w:rFonts w:ascii="Times New Roman" w:eastAsia="Times New Roman" w:hAnsi="Times New Roman" w:cs="Times New Roman"/>
            <w:color w:val="0000FF"/>
            <w:sz w:val="24"/>
            <w:szCs w:val="24"/>
            <w:u w:val="single"/>
            <w:lang w:eastAsia="de-DE"/>
          </w:rPr>
          <w:t>§ 406</w:t>
        </w:r>
      </w:hyperlink>
      <w:r w:rsidRPr="00EB03C9">
        <w:rPr>
          <w:rFonts w:ascii="Times New Roman" w:eastAsia="Times New Roman" w:hAnsi="Times New Roman" w:cs="Times New Roman"/>
          <w:sz w:val="24"/>
          <w:szCs w:val="24"/>
          <w:lang w:eastAsia="de-DE"/>
        </w:rPr>
        <w:t xml:space="preserve"> ff. BGB spielen hierbei eine große Rolle. So ist es bei der Sicherungshypothek möglich, auch Einwendungen (und nicht nur Einreden wie bei der Verkehrshypothek) aus dem alten (ersten) </w:t>
      </w:r>
      <w:hyperlink r:id="rId93" w:tooltip="Schuldverhältnis" w:history="1">
        <w:r w:rsidRPr="00EB03C9">
          <w:rPr>
            <w:rFonts w:ascii="Times New Roman" w:eastAsia="Times New Roman" w:hAnsi="Times New Roman" w:cs="Times New Roman"/>
            <w:color w:val="0000FF"/>
            <w:sz w:val="24"/>
            <w:szCs w:val="24"/>
            <w:u w:val="single"/>
            <w:lang w:eastAsia="de-DE"/>
          </w:rPr>
          <w:t>Schuldverhältnis</w:t>
        </w:r>
      </w:hyperlink>
      <w:r w:rsidRPr="00EB03C9">
        <w:rPr>
          <w:rFonts w:ascii="Times New Roman" w:eastAsia="Times New Roman" w:hAnsi="Times New Roman" w:cs="Times New Roman"/>
          <w:sz w:val="24"/>
          <w:szCs w:val="24"/>
          <w:lang w:eastAsia="de-DE"/>
        </w:rPr>
        <w:t xml:space="preserve"> geltend zu machen. Im Grundbuch muss die Sicherungshypothek ausdrücklich als solche bezeichnet werden (</w:t>
      </w:r>
      <w:hyperlink r:id="rId94" w:history="1">
        <w:r w:rsidRPr="00EB03C9">
          <w:rPr>
            <w:rFonts w:ascii="Times New Roman" w:eastAsia="Times New Roman" w:hAnsi="Times New Roman" w:cs="Times New Roman"/>
            <w:color w:val="0000FF"/>
            <w:sz w:val="24"/>
            <w:szCs w:val="24"/>
            <w:u w:val="single"/>
            <w:lang w:eastAsia="de-DE"/>
          </w:rPr>
          <w:t>§ 1184</w:t>
        </w:r>
      </w:hyperlink>
      <w:r w:rsidRPr="00EB03C9">
        <w:rPr>
          <w:rFonts w:ascii="Times New Roman" w:eastAsia="Times New Roman" w:hAnsi="Times New Roman" w:cs="Times New Roman"/>
          <w:sz w:val="24"/>
          <w:szCs w:val="24"/>
          <w:lang w:eastAsia="de-DE"/>
        </w:rPr>
        <w:t xml:space="preserve"> Abs. 2 BGB). Sie ist streng </w:t>
      </w:r>
      <w:hyperlink r:id="rId95" w:tooltip="Akzessorietät" w:history="1">
        <w:r w:rsidRPr="00EB03C9">
          <w:rPr>
            <w:rFonts w:ascii="Times New Roman" w:eastAsia="Times New Roman" w:hAnsi="Times New Roman" w:cs="Times New Roman"/>
            <w:color w:val="0000FF"/>
            <w:sz w:val="24"/>
            <w:szCs w:val="24"/>
            <w:u w:val="single"/>
            <w:lang w:eastAsia="de-DE"/>
          </w:rPr>
          <w:t>akzessorisch</w:t>
        </w:r>
      </w:hyperlink>
      <w:r w:rsidRPr="00EB03C9">
        <w:rPr>
          <w:rFonts w:ascii="Times New Roman" w:eastAsia="Times New Roman" w:hAnsi="Times New Roman" w:cs="Times New Roman"/>
          <w:sz w:val="24"/>
          <w:szCs w:val="24"/>
          <w:lang w:eastAsia="de-DE"/>
        </w:rPr>
        <w:t xml:space="preserve"> (§ 1184 Abs. 1 BGB) und richtet sich deshalb nach dem Bestand der gesicherten Forderung. Besondere Bedeutung hat die Sicherungshypothek bei der </w:t>
      </w:r>
      <w:hyperlink r:id="rId96" w:tooltip="Sicherungsvollstreckung" w:history="1">
        <w:r w:rsidRPr="00EB03C9">
          <w:rPr>
            <w:rFonts w:ascii="Times New Roman" w:eastAsia="Times New Roman" w:hAnsi="Times New Roman" w:cs="Times New Roman"/>
            <w:color w:val="0000FF"/>
            <w:sz w:val="24"/>
            <w:szCs w:val="24"/>
            <w:u w:val="single"/>
            <w:lang w:eastAsia="de-DE"/>
          </w:rPr>
          <w:t>Sicherungsvollstreckung</w:t>
        </w:r>
      </w:hyperlink>
      <w:r w:rsidRPr="00EB03C9">
        <w:rPr>
          <w:rFonts w:ascii="Times New Roman" w:eastAsia="Times New Roman" w:hAnsi="Times New Roman" w:cs="Times New Roman"/>
          <w:sz w:val="24"/>
          <w:szCs w:val="24"/>
          <w:lang w:eastAsia="de-DE"/>
        </w:rPr>
        <w:t xml:space="preserve"> (Zwangshypothek). </w:t>
      </w:r>
    </w:p>
    <w:p w:rsidR="00EB03C9" w:rsidRPr="00EB03C9" w:rsidRDefault="00EB03C9" w:rsidP="00EB03C9">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EB03C9">
        <w:rPr>
          <w:rFonts w:ascii="Times New Roman" w:eastAsia="Times New Roman" w:hAnsi="Times New Roman" w:cs="Times New Roman"/>
          <w:b/>
          <w:bCs/>
          <w:sz w:val="27"/>
          <w:szCs w:val="27"/>
          <w:lang w:eastAsia="de-DE"/>
        </w:rPr>
        <w:t>Mittel der Zwangsvollstreckung</w:t>
      </w:r>
    </w:p>
    <w:p w:rsidR="00EB03C9" w:rsidRPr="00EB03C9" w:rsidRDefault="00EB03C9" w:rsidP="00EB03C9">
      <w:pPr>
        <w:spacing w:before="100" w:beforeAutospacing="1" w:after="100" w:afterAutospacing="1" w:line="240" w:lineRule="auto"/>
        <w:rPr>
          <w:rFonts w:ascii="Times New Roman" w:eastAsia="Times New Roman" w:hAnsi="Times New Roman" w:cs="Times New Roman"/>
          <w:sz w:val="24"/>
          <w:szCs w:val="24"/>
          <w:lang w:eastAsia="de-DE"/>
        </w:rPr>
      </w:pPr>
      <w:r w:rsidRPr="00EB03C9">
        <w:rPr>
          <w:rFonts w:ascii="Times New Roman" w:eastAsia="Times New Roman" w:hAnsi="Times New Roman" w:cs="Times New Roman"/>
          <w:sz w:val="24"/>
          <w:szCs w:val="24"/>
          <w:lang w:eastAsia="de-DE"/>
        </w:rPr>
        <w:t xml:space="preserve">Im Wege der Zwangsvollstreckung kann der Gläubiger eine Sicherungshypothek auch gegen den Willen des Eigentümers ins </w:t>
      </w:r>
      <w:hyperlink r:id="rId97" w:tooltip="Grundbuch" w:history="1">
        <w:r w:rsidRPr="00EB03C9">
          <w:rPr>
            <w:rFonts w:ascii="Times New Roman" w:eastAsia="Times New Roman" w:hAnsi="Times New Roman" w:cs="Times New Roman"/>
            <w:color w:val="0000FF"/>
            <w:sz w:val="24"/>
            <w:szCs w:val="24"/>
            <w:u w:val="single"/>
            <w:lang w:eastAsia="de-DE"/>
          </w:rPr>
          <w:t>Grundbuch</w:t>
        </w:r>
      </w:hyperlink>
      <w:r w:rsidRPr="00EB03C9">
        <w:rPr>
          <w:rFonts w:ascii="Times New Roman" w:eastAsia="Times New Roman" w:hAnsi="Times New Roman" w:cs="Times New Roman"/>
          <w:sz w:val="24"/>
          <w:szCs w:val="24"/>
          <w:lang w:eastAsia="de-DE"/>
        </w:rPr>
        <w:t xml:space="preserve"> eintragen lassen (</w:t>
      </w:r>
      <w:hyperlink r:id="rId98" w:history="1">
        <w:r w:rsidRPr="00EB03C9">
          <w:rPr>
            <w:rFonts w:ascii="Times New Roman" w:eastAsia="Times New Roman" w:hAnsi="Times New Roman" w:cs="Times New Roman"/>
            <w:color w:val="0000FF"/>
            <w:sz w:val="24"/>
            <w:szCs w:val="24"/>
            <w:u w:val="single"/>
            <w:lang w:eastAsia="de-DE"/>
          </w:rPr>
          <w:t>§ 720a</w:t>
        </w:r>
      </w:hyperlink>
      <w:r w:rsidRPr="00EB03C9">
        <w:rPr>
          <w:rFonts w:ascii="Times New Roman" w:eastAsia="Times New Roman" w:hAnsi="Times New Roman" w:cs="Times New Roman"/>
          <w:sz w:val="24"/>
          <w:szCs w:val="24"/>
          <w:lang w:eastAsia="de-DE"/>
        </w:rPr>
        <w:t xml:space="preserve"> Abs. 1 </w:t>
      </w:r>
      <w:proofErr w:type="spellStart"/>
      <w:r w:rsidRPr="00EB03C9">
        <w:rPr>
          <w:rFonts w:ascii="Times New Roman" w:eastAsia="Times New Roman" w:hAnsi="Times New Roman" w:cs="Times New Roman"/>
          <w:sz w:val="24"/>
          <w:szCs w:val="24"/>
          <w:lang w:eastAsia="de-DE"/>
        </w:rPr>
        <w:t>lit</w:t>
      </w:r>
      <w:proofErr w:type="spellEnd"/>
      <w:r w:rsidRPr="00EB03C9">
        <w:rPr>
          <w:rFonts w:ascii="Times New Roman" w:eastAsia="Times New Roman" w:hAnsi="Times New Roman" w:cs="Times New Roman"/>
          <w:sz w:val="24"/>
          <w:szCs w:val="24"/>
          <w:lang w:eastAsia="de-DE"/>
        </w:rPr>
        <w:t xml:space="preserve">. b ZPO). Voraussetzung ist ein </w:t>
      </w:r>
      <w:hyperlink r:id="rId99" w:tooltip="Vollstreckungstitel" w:history="1">
        <w:r w:rsidRPr="00EB03C9">
          <w:rPr>
            <w:rFonts w:ascii="Times New Roman" w:eastAsia="Times New Roman" w:hAnsi="Times New Roman" w:cs="Times New Roman"/>
            <w:color w:val="0000FF"/>
            <w:sz w:val="24"/>
            <w:szCs w:val="24"/>
            <w:u w:val="single"/>
            <w:lang w:eastAsia="de-DE"/>
          </w:rPr>
          <w:t>Vollstreckungstitel</w:t>
        </w:r>
      </w:hyperlink>
      <w:r w:rsidRPr="00EB03C9">
        <w:rPr>
          <w:rFonts w:ascii="Times New Roman" w:eastAsia="Times New Roman" w:hAnsi="Times New Roman" w:cs="Times New Roman"/>
          <w:sz w:val="24"/>
          <w:szCs w:val="24"/>
          <w:lang w:eastAsia="de-DE"/>
        </w:rPr>
        <w:t xml:space="preserve">, der den Bestand der Forderung beweist, die über 750 Euro liegen muss. </w:t>
      </w:r>
    </w:p>
    <w:p w:rsidR="00EB03C9" w:rsidRPr="00EB03C9" w:rsidRDefault="00EB03C9" w:rsidP="00EB03C9">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EB03C9">
        <w:rPr>
          <w:rFonts w:ascii="Times New Roman" w:eastAsia="Times New Roman" w:hAnsi="Times New Roman" w:cs="Times New Roman"/>
          <w:b/>
          <w:bCs/>
          <w:sz w:val="27"/>
          <w:szCs w:val="27"/>
          <w:lang w:eastAsia="de-DE"/>
        </w:rPr>
        <w:t>Insolvenzfestes Sicherungsmittel</w:t>
      </w:r>
    </w:p>
    <w:p w:rsidR="00EB03C9" w:rsidRPr="00EB03C9" w:rsidRDefault="00EB03C9" w:rsidP="00EB03C9">
      <w:pPr>
        <w:spacing w:before="100" w:beforeAutospacing="1" w:after="100" w:afterAutospacing="1" w:line="240" w:lineRule="auto"/>
        <w:rPr>
          <w:rFonts w:ascii="Times New Roman" w:eastAsia="Times New Roman" w:hAnsi="Times New Roman" w:cs="Times New Roman"/>
          <w:sz w:val="24"/>
          <w:szCs w:val="24"/>
          <w:lang w:eastAsia="de-DE"/>
        </w:rPr>
      </w:pPr>
      <w:r w:rsidRPr="00EB03C9">
        <w:rPr>
          <w:rFonts w:ascii="Times New Roman" w:eastAsia="Times New Roman" w:hAnsi="Times New Roman" w:cs="Times New Roman"/>
          <w:sz w:val="24"/>
          <w:szCs w:val="24"/>
          <w:lang w:eastAsia="de-DE"/>
        </w:rPr>
        <w:t xml:space="preserve">Eine Hypothek, die eine Insolvenzforderung sichert, geht durch die Erteilung der Restschuldbefreiung nicht gemäß § 1163 Abs. 1 S. 2 BGB auf den Eigentümer über. Gemäß § 301 Abs. 2 S. 1 InsO werden die Rechte der Insolvenzgläubiger aus einem Recht, das im Insolvenzverfahren zur abgesonderten Befriedigung berechtigt, durch die Restschuldbefreiung auch im Übrigen nicht berührt. Die Hypothek berechtigt zur Befriedigung aus dem belasteten Grundstück (vgl. § 1113 Abs. 1 BGB). Im Insolvenzverfahren berechtigt sie gemäß § 49 InsO zur </w:t>
      </w:r>
      <w:hyperlink r:id="rId100" w:tooltip="Absonderungsrecht" w:history="1">
        <w:r w:rsidRPr="00EB03C9">
          <w:rPr>
            <w:rFonts w:ascii="Times New Roman" w:eastAsia="Times New Roman" w:hAnsi="Times New Roman" w:cs="Times New Roman"/>
            <w:color w:val="0000FF"/>
            <w:sz w:val="24"/>
            <w:szCs w:val="24"/>
            <w:u w:val="single"/>
            <w:lang w:eastAsia="de-DE"/>
          </w:rPr>
          <w:t>abgesonderten Befriedigung</w:t>
        </w:r>
      </w:hyperlink>
      <w:hyperlink r:id="rId101" w:anchor="cite_note-3" w:history="1">
        <w:r w:rsidRPr="00EB03C9">
          <w:rPr>
            <w:rFonts w:ascii="Times New Roman" w:eastAsia="Times New Roman" w:hAnsi="Times New Roman" w:cs="Times New Roman"/>
            <w:color w:val="0000FF"/>
            <w:sz w:val="24"/>
            <w:szCs w:val="24"/>
            <w:u w:val="single"/>
            <w:vertAlign w:val="superscript"/>
            <w:lang w:eastAsia="de-DE"/>
          </w:rPr>
          <w:t>[3]</w:t>
        </w:r>
      </w:hyperlink>
      <w:r w:rsidRPr="00EB03C9">
        <w:rPr>
          <w:rFonts w:ascii="Times New Roman" w:eastAsia="Times New Roman" w:hAnsi="Times New Roman" w:cs="Times New Roman"/>
          <w:sz w:val="24"/>
          <w:szCs w:val="24"/>
          <w:lang w:eastAsia="de-DE"/>
        </w:rPr>
        <w:t xml:space="preserve">. </w:t>
      </w:r>
    </w:p>
    <w:p w:rsidR="00EB03C9" w:rsidRPr="00EB03C9" w:rsidRDefault="00EB03C9" w:rsidP="00EB03C9">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bookmarkStart w:id="0" w:name="_GoBack"/>
      <w:r w:rsidRPr="00EB03C9">
        <w:rPr>
          <w:rFonts w:ascii="Times New Roman" w:eastAsia="Times New Roman" w:hAnsi="Times New Roman" w:cs="Times New Roman"/>
          <w:b/>
          <w:bCs/>
          <w:sz w:val="36"/>
          <w:szCs w:val="36"/>
          <w:lang w:eastAsia="de-DE"/>
        </w:rPr>
        <w:t>Weblinks</w:t>
      </w:r>
    </w:p>
    <w:bookmarkEnd w:id="0"/>
    <w:p w:rsidR="005D4ED3" w:rsidRDefault="005D4ED3"/>
    <w:sectPr w:rsidR="005D4ED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238A7"/>
    <w:multiLevelType w:val="multilevel"/>
    <w:tmpl w:val="33FA4F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025286"/>
    <w:multiLevelType w:val="multilevel"/>
    <w:tmpl w:val="293E9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3C9"/>
    <w:rsid w:val="005D4ED3"/>
    <w:rsid w:val="00EB03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E4B950-F465-4E2A-B228-54601663B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EB03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EB03C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link w:val="berschrift3Zchn"/>
    <w:uiPriority w:val="9"/>
    <w:qFormat/>
    <w:rsid w:val="00EB03C9"/>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B03C9"/>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EB03C9"/>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EB03C9"/>
    <w:rPr>
      <w:rFonts w:ascii="Times New Roman" w:eastAsia="Times New Roman" w:hAnsi="Times New Roman" w:cs="Times New Roman"/>
      <w:b/>
      <w:bCs/>
      <w:sz w:val="27"/>
      <w:szCs w:val="27"/>
      <w:lang w:eastAsia="de-DE"/>
    </w:rPr>
  </w:style>
  <w:style w:type="character" w:customStyle="1" w:styleId="mw-page-title-main">
    <w:name w:val="mw-page-title-main"/>
    <w:basedOn w:val="Absatz-Standardschriftart"/>
    <w:rsid w:val="00EB03C9"/>
  </w:style>
  <w:style w:type="paragraph" w:styleId="StandardWeb">
    <w:name w:val="Normal (Web)"/>
    <w:basedOn w:val="Standard"/>
    <w:uiPriority w:val="99"/>
    <w:semiHidden/>
    <w:unhideWhenUsed/>
    <w:rsid w:val="00EB03C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EB03C9"/>
    <w:rPr>
      <w:color w:val="0000FF"/>
      <w:u w:val="single"/>
    </w:rPr>
  </w:style>
  <w:style w:type="character" w:customStyle="1" w:styleId="tocnumber">
    <w:name w:val="tocnumber"/>
    <w:basedOn w:val="Absatz-Standardschriftart"/>
    <w:rsid w:val="00EB03C9"/>
  </w:style>
  <w:style w:type="character" w:customStyle="1" w:styleId="toctext">
    <w:name w:val="toctext"/>
    <w:basedOn w:val="Absatz-Standardschriftart"/>
    <w:rsid w:val="00EB03C9"/>
  </w:style>
  <w:style w:type="character" w:customStyle="1" w:styleId="plainlinks-print">
    <w:name w:val="plainlinks-print"/>
    <w:basedOn w:val="Absatz-Standardschriftart"/>
    <w:rsid w:val="00EB03C9"/>
  </w:style>
  <w:style w:type="paragraph" w:styleId="Sprechblasentext">
    <w:name w:val="Balloon Text"/>
    <w:basedOn w:val="Standard"/>
    <w:link w:val="SprechblasentextZchn"/>
    <w:uiPriority w:val="99"/>
    <w:semiHidden/>
    <w:unhideWhenUsed/>
    <w:rsid w:val="00EB03C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B03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422712">
      <w:bodyDiv w:val="1"/>
      <w:marLeft w:val="0"/>
      <w:marRight w:val="0"/>
      <w:marTop w:val="0"/>
      <w:marBottom w:val="0"/>
      <w:divBdr>
        <w:top w:val="none" w:sz="0" w:space="0" w:color="auto"/>
        <w:left w:val="none" w:sz="0" w:space="0" w:color="auto"/>
        <w:bottom w:val="none" w:sz="0" w:space="0" w:color="auto"/>
        <w:right w:val="none" w:sz="0" w:space="0" w:color="auto"/>
      </w:divBdr>
      <w:divsChild>
        <w:div w:id="387386389">
          <w:marLeft w:val="0"/>
          <w:marRight w:val="0"/>
          <w:marTop w:val="0"/>
          <w:marBottom w:val="0"/>
          <w:divBdr>
            <w:top w:val="none" w:sz="0" w:space="0" w:color="auto"/>
            <w:left w:val="none" w:sz="0" w:space="0" w:color="auto"/>
            <w:bottom w:val="none" w:sz="0" w:space="0" w:color="auto"/>
            <w:right w:val="none" w:sz="0" w:space="0" w:color="auto"/>
          </w:divBdr>
          <w:divsChild>
            <w:div w:id="849374230">
              <w:marLeft w:val="0"/>
              <w:marRight w:val="0"/>
              <w:marTop w:val="0"/>
              <w:marBottom w:val="0"/>
              <w:divBdr>
                <w:top w:val="none" w:sz="0" w:space="0" w:color="auto"/>
                <w:left w:val="none" w:sz="0" w:space="0" w:color="auto"/>
                <w:bottom w:val="none" w:sz="0" w:space="0" w:color="auto"/>
                <w:right w:val="none" w:sz="0" w:space="0" w:color="auto"/>
              </w:divBdr>
              <w:divsChild>
                <w:div w:id="1563758168">
                  <w:marLeft w:val="0"/>
                  <w:marRight w:val="0"/>
                  <w:marTop w:val="0"/>
                  <w:marBottom w:val="0"/>
                  <w:divBdr>
                    <w:top w:val="none" w:sz="0" w:space="0" w:color="auto"/>
                    <w:left w:val="none" w:sz="0" w:space="0" w:color="auto"/>
                    <w:bottom w:val="none" w:sz="0" w:space="0" w:color="auto"/>
                    <w:right w:val="none" w:sz="0" w:space="0" w:color="auto"/>
                  </w:divBdr>
                </w:div>
              </w:divsChild>
            </w:div>
            <w:div w:id="636571287">
              <w:marLeft w:val="0"/>
              <w:marRight w:val="0"/>
              <w:marTop w:val="0"/>
              <w:marBottom w:val="0"/>
              <w:divBdr>
                <w:top w:val="none" w:sz="0" w:space="0" w:color="auto"/>
                <w:left w:val="none" w:sz="0" w:space="0" w:color="auto"/>
                <w:bottom w:val="none" w:sz="0" w:space="0" w:color="auto"/>
                <w:right w:val="none" w:sz="0" w:space="0" w:color="auto"/>
              </w:divBdr>
            </w:div>
          </w:divsChild>
        </w:div>
        <w:div w:id="2137597661">
          <w:marLeft w:val="0"/>
          <w:marRight w:val="0"/>
          <w:marTop w:val="0"/>
          <w:marBottom w:val="0"/>
          <w:divBdr>
            <w:top w:val="none" w:sz="0" w:space="0" w:color="auto"/>
            <w:left w:val="none" w:sz="0" w:space="0" w:color="auto"/>
            <w:bottom w:val="none" w:sz="0" w:space="0" w:color="auto"/>
            <w:right w:val="none" w:sz="0" w:space="0" w:color="auto"/>
          </w:divBdr>
        </w:div>
        <w:div w:id="460344715">
          <w:marLeft w:val="0"/>
          <w:marRight w:val="0"/>
          <w:marTop w:val="0"/>
          <w:marBottom w:val="0"/>
          <w:divBdr>
            <w:top w:val="none" w:sz="0" w:space="0" w:color="auto"/>
            <w:left w:val="none" w:sz="0" w:space="0" w:color="auto"/>
            <w:bottom w:val="none" w:sz="0" w:space="0" w:color="auto"/>
            <w:right w:val="none" w:sz="0" w:space="0" w:color="auto"/>
          </w:divBdr>
        </w:div>
        <w:div w:id="1985498606">
          <w:marLeft w:val="0"/>
          <w:marRight w:val="0"/>
          <w:marTop w:val="0"/>
          <w:marBottom w:val="0"/>
          <w:divBdr>
            <w:top w:val="none" w:sz="0" w:space="0" w:color="auto"/>
            <w:left w:val="none" w:sz="0" w:space="0" w:color="auto"/>
            <w:bottom w:val="none" w:sz="0" w:space="0" w:color="auto"/>
            <w:right w:val="none" w:sz="0" w:space="0" w:color="auto"/>
          </w:divBdr>
        </w:div>
        <w:div w:id="1120685352">
          <w:marLeft w:val="0"/>
          <w:marRight w:val="0"/>
          <w:marTop w:val="0"/>
          <w:marBottom w:val="0"/>
          <w:divBdr>
            <w:top w:val="none" w:sz="0" w:space="0" w:color="auto"/>
            <w:left w:val="none" w:sz="0" w:space="0" w:color="auto"/>
            <w:bottom w:val="none" w:sz="0" w:space="0" w:color="auto"/>
            <w:right w:val="none" w:sz="0" w:space="0" w:color="auto"/>
          </w:divBdr>
        </w:div>
        <w:div w:id="6248486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e.wikipedia.org/wiki/Akzessoriet%C3%A4t" TargetMode="External"/><Relationship Id="rId21" Type="http://schemas.openxmlformats.org/officeDocument/2006/relationships/hyperlink" Target="https://www.gesetze-im-internet.de/bgb/__1184.html" TargetMode="External"/><Relationship Id="rId42" Type="http://schemas.openxmlformats.org/officeDocument/2006/relationships/hyperlink" Target="https://de.wikipedia.org/wiki/Bauhandwerker" TargetMode="External"/><Relationship Id="rId47" Type="http://schemas.openxmlformats.org/officeDocument/2006/relationships/hyperlink" Target="https://de.wikipedia.org/wiki/Orderpapier" TargetMode="External"/><Relationship Id="rId63" Type="http://schemas.openxmlformats.org/officeDocument/2006/relationships/hyperlink" Target="https://de.wikipedia.org/wiki/Grundbuchamt" TargetMode="External"/><Relationship Id="rId68" Type="http://schemas.openxmlformats.org/officeDocument/2006/relationships/hyperlink" Target="https://www.gesetze-im-internet.de/zpo/__848.html" TargetMode="External"/><Relationship Id="rId84" Type="http://schemas.openxmlformats.org/officeDocument/2006/relationships/hyperlink" Target="https://www.gesetze-im-internet.de/ao_1977/__322.html" TargetMode="External"/><Relationship Id="rId89" Type="http://schemas.openxmlformats.org/officeDocument/2006/relationships/hyperlink" Target="https://de.wikipedia.org/wiki/Hypothekenbrief" TargetMode="External"/><Relationship Id="rId7" Type="http://schemas.openxmlformats.org/officeDocument/2006/relationships/hyperlink" Target="https://de.wikipedia.org/wiki/Kreditsicherheit" TargetMode="External"/><Relationship Id="rId71" Type="http://schemas.openxmlformats.org/officeDocument/2006/relationships/hyperlink" Target="https://de.wikipedia.org/wiki/Verpf%C3%A4ndung" TargetMode="External"/><Relationship Id="rId92" Type="http://schemas.openxmlformats.org/officeDocument/2006/relationships/hyperlink" Target="https://www.gesetze-im-internet.de/bgb/__406.html" TargetMode="External"/><Relationship Id="rId2" Type="http://schemas.openxmlformats.org/officeDocument/2006/relationships/styles" Target="styles.xml"/><Relationship Id="rId16" Type="http://schemas.openxmlformats.org/officeDocument/2006/relationships/hyperlink" Target="https://de.wikipedia.org/wiki/Sicherungshypothek" TargetMode="External"/><Relationship Id="rId29" Type="http://schemas.openxmlformats.org/officeDocument/2006/relationships/hyperlink" Target="https://www.gesetze-im-internet.de/bgb/__1138.html" TargetMode="External"/><Relationship Id="rId11" Type="http://schemas.openxmlformats.org/officeDocument/2006/relationships/image" Target="media/image1.wmf"/><Relationship Id="rId24" Type="http://schemas.openxmlformats.org/officeDocument/2006/relationships/hyperlink" Target="https://de.wikipedia.org/wiki/Hypothek_(Deutschland)" TargetMode="External"/><Relationship Id="rId32" Type="http://schemas.openxmlformats.org/officeDocument/2006/relationships/hyperlink" Target="https://de.wikipedia.org/wiki/Eigent%C3%BCmer" TargetMode="External"/><Relationship Id="rId37" Type="http://schemas.openxmlformats.org/officeDocument/2006/relationships/hyperlink" Target="https://de.wikipedia.org/wiki/Bauvertrag_(Deutschland)" TargetMode="External"/><Relationship Id="rId40" Type="http://schemas.openxmlformats.org/officeDocument/2006/relationships/hyperlink" Target="https://de.wikipedia.org/wiki/Schiffshypothek" TargetMode="External"/><Relationship Id="rId45" Type="http://schemas.openxmlformats.org/officeDocument/2006/relationships/hyperlink" Target="https://de.wikipedia.org/wiki/Werklohn" TargetMode="External"/><Relationship Id="rId53" Type="http://schemas.openxmlformats.org/officeDocument/2006/relationships/hyperlink" Target="https://www.gesetze-im-internet.de/bgb/__1190.html" TargetMode="External"/><Relationship Id="rId58" Type="http://schemas.openxmlformats.org/officeDocument/2006/relationships/hyperlink" Target="https://www.gesetze-im-internet.de/zpo/__866.html" TargetMode="External"/><Relationship Id="rId66" Type="http://schemas.openxmlformats.org/officeDocument/2006/relationships/hyperlink" Target="https://www.gesetze-im-internet.de/zpo/__932.html" TargetMode="External"/><Relationship Id="rId74" Type="http://schemas.openxmlformats.org/officeDocument/2006/relationships/hyperlink" Target="https://de.wikipedia.org/wiki/Schiff" TargetMode="External"/><Relationship Id="rId79" Type="http://schemas.openxmlformats.org/officeDocument/2006/relationships/hyperlink" Target="https://www.gesetze-im-internet.de/zpo/__847a.html" TargetMode="External"/><Relationship Id="rId87" Type="http://schemas.openxmlformats.org/officeDocument/2006/relationships/hyperlink" Target="https://de.wikipedia.org/wiki/Buchhypothek" TargetMode="External"/><Relationship Id="rId102" Type="http://schemas.openxmlformats.org/officeDocument/2006/relationships/fontTable" Target="fontTable.xml"/><Relationship Id="rId5" Type="http://schemas.openxmlformats.org/officeDocument/2006/relationships/hyperlink" Target="https://de.wikipedia.org/wiki/Hypothek" TargetMode="External"/><Relationship Id="rId61" Type="http://schemas.openxmlformats.org/officeDocument/2006/relationships/hyperlink" Target="https://de.wikipedia.org/wiki/Zwangsverwaltung" TargetMode="External"/><Relationship Id="rId82" Type="http://schemas.openxmlformats.org/officeDocument/2006/relationships/hyperlink" Target="https://www.gesetze-im-internet.de/zvg/__128.html" TargetMode="External"/><Relationship Id="rId90" Type="http://schemas.openxmlformats.org/officeDocument/2006/relationships/hyperlink" Target="https://de.wikipedia.org/wiki/Kreditinstitut" TargetMode="External"/><Relationship Id="rId95" Type="http://schemas.openxmlformats.org/officeDocument/2006/relationships/hyperlink" Target="https://de.wikipedia.org/wiki/Akzessoriet%C3%A4t" TargetMode="External"/><Relationship Id="rId19" Type="http://schemas.openxmlformats.org/officeDocument/2006/relationships/hyperlink" Target="https://de.wikipedia.org/wiki/Sicherungshypothek" TargetMode="External"/><Relationship Id="rId14" Type="http://schemas.openxmlformats.org/officeDocument/2006/relationships/hyperlink" Target="https://de.wikipedia.org/wiki/Sicherungshypothek" TargetMode="External"/><Relationship Id="rId22" Type="http://schemas.openxmlformats.org/officeDocument/2006/relationships/hyperlink" Target="https://de.wikipedia.org/wiki/B%C3%BCrgerliches_Gesetzbuch" TargetMode="External"/><Relationship Id="rId27" Type="http://schemas.openxmlformats.org/officeDocument/2006/relationships/hyperlink" Target="https://de.wikipedia.org/wiki/Sicherungshypothek" TargetMode="External"/><Relationship Id="rId30" Type="http://schemas.openxmlformats.org/officeDocument/2006/relationships/hyperlink" Target="https://de.wikipedia.org/wiki/Verkehrsf%C3%A4higkeit" TargetMode="External"/><Relationship Id="rId35" Type="http://schemas.openxmlformats.org/officeDocument/2006/relationships/hyperlink" Target="https://de.wikipedia.org/wiki/Bauunternehmer" TargetMode="External"/><Relationship Id="rId43" Type="http://schemas.openxmlformats.org/officeDocument/2006/relationships/hyperlink" Target="https://www.gesetze-im-internet.de/bgb/__650f.html" TargetMode="External"/><Relationship Id="rId48" Type="http://schemas.openxmlformats.org/officeDocument/2006/relationships/hyperlink" Target="https://de.wikipedia.org/wiki/Inhaberschuldverschreibung" TargetMode="External"/><Relationship Id="rId56" Type="http://schemas.openxmlformats.org/officeDocument/2006/relationships/hyperlink" Target="https://de.wikipedia.org/wiki/Zwangsvollstreckungsrecht_(Deutschland)" TargetMode="External"/><Relationship Id="rId64" Type="http://schemas.openxmlformats.org/officeDocument/2006/relationships/hyperlink" Target="https://de.wikipedia.org/wiki/Vollstreckungstitel_(Deutschland)" TargetMode="External"/><Relationship Id="rId69" Type="http://schemas.openxmlformats.org/officeDocument/2006/relationships/hyperlink" Target="https://de.wikipedia.org/wiki/Surrogation" TargetMode="External"/><Relationship Id="rId77" Type="http://schemas.openxmlformats.org/officeDocument/2006/relationships/hyperlink" Target="https://de.wikipedia.org/wiki/Herausgabeanspruch" TargetMode="External"/><Relationship Id="rId100" Type="http://schemas.openxmlformats.org/officeDocument/2006/relationships/hyperlink" Target="https://de.wikipedia.org/wiki/Absonderungsrecht" TargetMode="External"/><Relationship Id="rId8" Type="http://schemas.openxmlformats.org/officeDocument/2006/relationships/hyperlink" Target="https://de.wikipedia.org/wiki/Forderung" TargetMode="External"/><Relationship Id="rId51" Type="http://schemas.openxmlformats.org/officeDocument/2006/relationships/hyperlink" Target="https://de.wikipedia.org/wiki/Emittent_(Finanzmarkt)" TargetMode="External"/><Relationship Id="rId72" Type="http://schemas.openxmlformats.org/officeDocument/2006/relationships/hyperlink" Target="https://de.wikipedia.org/wiki/Pf%C3%A4ndung" TargetMode="External"/><Relationship Id="rId80" Type="http://schemas.openxmlformats.org/officeDocument/2006/relationships/hyperlink" Target="https://de.wikipedia.org/wiki/Geringstes_Gebot" TargetMode="External"/><Relationship Id="rId85" Type="http://schemas.openxmlformats.org/officeDocument/2006/relationships/hyperlink" Target="https://de.wikipedia.org/wiki/Abgabenordnung" TargetMode="External"/><Relationship Id="rId93" Type="http://schemas.openxmlformats.org/officeDocument/2006/relationships/hyperlink" Target="https://de.wikipedia.org/wiki/Schuldverh%C3%A4ltnis" TargetMode="External"/><Relationship Id="rId98" Type="http://schemas.openxmlformats.org/officeDocument/2006/relationships/hyperlink" Target="https://www.gesetze-im-internet.de/zpo/__720a.html" TargetMode="External"/><Relationship Id="rId3" Type="http://schemas.openxmlformats.org/officeDocument/2006/relationships/settings" Target="settings.xml"/><Relationship Id="rId12" Type="http://schemas.openxmlformats.org/officeDocument/2006/relationships/control" Target="activeX/activeX1.xml"/><Relationship Id="rId17" Type="http://schemas.openxmlformats.org/officeDocument/2006/relationships/hyperlink" Target="https://de.wikipedia.org/wiki/Sicherungshypothek" TargetMode="External"/><Relationship Id="rId25" Type="http://schemas.openxmlformats.org/officeDocument/2006/relationships/hyperlink" Target="https://www.gesetze-im-internet.de/bgb/__1186.html" TargetMode="External"/><Relationship Id="rId33" Type="http://schemas.openxmlformats.org/officeDocument/2006/relationships/hyperlink" Target="https://de.wikipedia.org/wiki/Sicherungshypothek" TargetMode="External"/><Relationship Id="rId38" Type="http://schemas.openxmlformats.org/officeDocument/2006/relationships/hyperlink" Target="https://de.wikipedia.org/wiki/Schiffswerft" TargetMode="External"/><Relationship Id="rId46" Type="http://schemas.openxmlformats.org/officeDocument/2006/relationships/hyperlink" Target="https://de.wikipedia.org/wiki/Inhaberpapier" TargetMode="External"/><Relationship Id="rId59" Type="http://schemas.openxmlformats.org/officeDocument/2006/relationships/hyperlink" Target="https://de.wikipedia.org/wiki/Zivilprozessordnung_(Deutschland)" TargetMode="External"/><Relationship Id="rId67" Type="http://schemas.openxmlformats.org/officeDocument/2006/relationships/hyperlink" Target="https://www.gesetze-im-internet.de/zpo/__916.html" TargetMode="External"/><Relationship Id="rId103" Type="http://schemas.openxmlformats.org/officeDocument/2006/relationships/theme" Target="theme/theme1.xml"/><Relationship Id="rId20" Type="http://schemas.openxmlformats.org/officeDocument/2006/relationships/hyperlink" Target="https://de.wikipedia.org/wiki/Sicherungshypothek" TargetMode="External"/><Relationship Id="rId41" Type="http://schemas.openxmlformats.org/officeDocument/2006/relationships/hyperlink" Target="https://www.gesetze-im-internet.de/bgb/__647a.html" TargetMode="External"/><Relationship Id="rId54" Type="http://schemas.openxmlformats.org/officeDocument/2006/relationships/hyperlink" Target="https://de.wikipedia.org/wiki/Grundst%C3%BCck" TargetMode="External"/><Relationship Id="rId62" Type="http://schemas.openxmlformats.org/officeDocument/2006/relationships/hyperlink" Target="https://de.wikipedia.org/wiki/Gl%C3%A4ubiger" TargetMode="External"/><Relationship Id="rId70" Type="http://schemas.openxmlformats.org/officeDocument/2006/relationships/hyperlink" Target="https://de.wikipedia.org/wiki/Erf%C3%BCllung_(Recht)" TargetMode="External"/><Relationship Id="rId75" Type="http://schemas.openxmlformats.org/officeDocument/2006/relationships/hyperlink" Target="https://www.gesetze-im-internet.de/bgb/__1287.html" TargetMode="External"/><Relationship Id="rId83" Type="http://schemas.openxmlformats.org/officeDocument/2006/relationships/hyperlink" Target="https://de.wikipedia.org/wiki/Steuerrecht_(Deutschland)" TargetMode="External"/><Relationship Id="rId88" Type="http://schemas.openxmlformats.org/officeDocument/2006/relationships/hyperlink" Target="https://www.gesetze-im-internet.de/bgb/__1185.html" TargetMode="External"/><Relationship Id="rId91" Type="http://schemas.openxmlformats.org/officeDocument/2006/relationships/hyperlink" Target="https://de.wikipedia.org/wiki/Kreditsicherungsrecht_(Deutschland)" TargetMode="External"/><Relationship Id="rId96" Type="http://schemas.openxmlformats.org/officeDocument/2006/relationships/hyperlink" Target="https://de.wikipedia.org/wiki/Sicherungsvollstreckung" TargetMode="External"/><Relationship Id="rId1" Type="http://schemas.openxmlformats.org/officeDocument/2006/relationships/numbering" Target="numbering.xml"/><Relationship Id="rId6" Type="http://schemas.openxmlformats.org/officeDocument/2006/relationships/hyperlink" Target="https://de.wikipedia.org/wiki/Grundpfandrecht" TargetMode="External"/><Relationship Id="rId15" Type="http://schemas.openxmlformats.org/officeDocument/2006/relationships/hyperlink" Target="https://de.wikipedia.org/wiki/Sicherungshypothek" TargetMode="External"/><Relationship Id="rId23" Type="http://schemas.openxmlformats.org/officeDocument/2006/relationships/hyperlink" Target="https://www.gesetze-im-internet.de/bgb/__1113.html" TargetMode="External"/><Relationship Id="rId28" Type="http://schemas.openxmlformats.org/officeDocument/2006/relationships/hyperlink" Target="https://de.wikipedia.org/wiki/Beweis_(Rechtswesen)" TargetMode="External"/><Relationship Id="rId36" Type="http://schemas.openxmlformats.org/officeDocument/2006/relationships/hyperlink" Target="https://www.gesetze-im-internet.de/bgb/__650e.html" TargetMode="External"/><Relationship Id="rId49" Type="http://schemas.openxmlformats.org/officeDocument/2006/relationships/hyperlink" Target="https://www.gesetze-im-internet.de/bgb/__1187.html" TargetMode="External"/><Relationship Id="rId57" Type="http://schemas.openxmlformats.org/officeDocument/2006/relationships/hyperlink" Target="https://de.wikipedia.org/wiki/Zwangshypothek" TargetMode="External"/><Relationship Id="rId10" Type="http://schemas.openxmlformats.org/officeDocument/2006/relationships/hyperlink" Target="https://de.wikipedia.org/wiki/Grundbuch" TargetMode="External"/><Relationship Id="rId31" Type="http://schemas.openxmlformats.org/officeDocument/2006/relationships/hyperlink" Target="https://de.wikipedia.org/wiki/Hypothekenbrief" TargetMode="External"/><Relationship Id="rId44" Type="http://schemas.openxmlformats.org/officeDocument/2006/relationships/hyperlink" Target="https://de.wikipedia.org/wiki/Bauhandwerker-Sicherungshypothek" TargetMode="External"/><Relationship Id="rId52" Type="http://schemas.openxmlformats.org/officeDocument/2006/relationships/hyperlink" Target="https://de.wikipedia.org/wiki/Aussteller_(Urkunde)" TargetMode="External"/><Relationship Id="rId60" Type="http://schemas.openxmlformats.org/officeDocument/2006/relationships/hyperlink" Target="https://de.wikipedia.org/wiki/Zwangsversteigerung_(Deutschland)" TargetMode="External"/><Relationship Id="rId65" Type="http://schemas.openxmlformats.org/officeDocument/2006/relationships/hyperlink" Target="https://www.gesetze-im-internet.de/zpo/__867.html" TargetMode="External"/><Relationship Id="rId73" Type="http://schemas.openxmlformats.org/officeDocument/2006/relationships/hyperlink" Target="https://de.wikipedia.org/wiki/%C3%9Cbereignung" TargetMode="External"/><Relationship Id="rId78" Type="http://schemas.openxmlformats.org/officeDocument/2006/relationships/hyperlink" Target="https://www.gesetze-im-internet.de/zpo/__848.html" TargetMode="External"/><Relationship Id="rId81" Type="http://schemas.openxmlformats.org/officeDocument/2006/relationships/hyperlink" Target="https://www.gesetze-im-internet.de/zvg/__118.html" TargetMode="External"/><Relationship Id="rId86" Type="http://schemas.openxmlformats.org/officeDocument/2006/relationships/hyperlink" Target="https://de.wikipedia.org/wiki/Steuerpflichtiger" TargetMode="External"/><Relationship Id="rId94" Type="http://schemas.openxmlformats.org/officeDocument/2006/relationships/hyperlink" Target="https://www.gesetze-im-internet.de/bgb/__1184.html" TargetMode="External"/><Relationship Id="rId99" Type="http://schemas.openxmlformats.org/officeDocument/2006/relationships/hyperlink" Target="https://de.wikipedia.org/wiki/Vollstreckungstitel" TargetMode="External"/><Relationship Id="rId101" Type="http://schemas.openxmlformats.org/officeDocument/2006/relationships/hyperlink" Target="https://de.wikipedia.org/wiki/Sicherungshypothek" TargetMode="External"/><Relationship Id="rId4" Type="http://schemas.openxmlformats.org/officeDocument/2006/relationships/webSettings" Target="webSettings.xml"/><Relationship Id="rId9" Type="http://schemas.openxmlformats.org/officeDocument/2006/relationships/hyperlink" Target="https://de.wikipedia.org/wiki/Eintragung" TargetMode="External"/><Relationship Id="rId13" Type="http://schemas.openxmlformats.org/officeDocument/2006/relationships/hyperlink" Target="https://de.wikipedia.org/wiki/Sicherungshypothek" TargetMode="External"/><Relationship Id="rId18" Type="http://schemas.openxmlformats.org/officeDocument/2006/relationships/hyperlink" Target="https://de.wikipedia.org/wiki/Sicherungshypothek" TargetMode="External"/><Relationship Id="rId39" Type="http://schemas.openxmlformats.org/officeDocument/2006/relationships/hyperlink" Target="https://de.wikipedia.org/wiki/Schiff" TargetMode="External"/><Relationship Id="rId34" Type="http://schemas.openxmlformats.org/officeDocument/2006/relationships/hyperlink" Target="https://de.wikipedia.org/wiki/Zivilrecht" TargetMode="External"/><Relationship Id="rId50" Type="http://schemas.openxmlformats.org/officeDocument/2006/relationships/hyperlink" Target="https://de.wikipedia.org/wiki/Schuldverschreibung" TargetMode="External"/><Relationship Id="rId55" Type="http://schemas.openxmlformats.org/officeDocument/2006/relationships/hyperlink" Target="https://de.wikipedia.org/wiki/Grundbuch" TargetMode="External"/><Relationship Id="rId76" Type="http://schemas.openxmlformats.org/officeDocument/2006/relationships/hyperlink" Target="https://de.wikipedia.org/wiki/Bewegliche_Sache" TargetMode="External"/><Relationship Id="rId97" Type="http://schemas.openxmlformats.org/officeDocument/2006/relationships/hyperlink" Target="https://de.wikipedia.org/wiki/Grundbuch"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1970</Words>
  <Characters>12411</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14353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Simmerl-Hübner, Susanne</dc:creator>
  <cp:keywords/>
  <dc:description/>
  <cp:lastModifiedBy>Simmerl-Hübner, Susanne</cp:lastModifiedBy>
  <cp:revision>1</cp:revision>
  <cp:lastPrinted>2024-08-08T06:20:00Z</cp:lastPrinted>
  <dcterms:created xsi:type="dcterms:W3CDTF">2024-08-08T06:19:00Z</dcterms:created>
  <dcterms:modified xsi:type="dcterms:W3CDTF">2024-08-08T06:25:00Z</dcterms:modified>
</cp:coreProperties>
</file>