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810"/>
        <w:gridCol w:w="284"/>
        <w:gridCol w:w="230"/>
        <w:gridCol w:w="3309"/>
        <w:gridCol w:w="551"/>
        <w:gridCol w:w="3798"/>
        <w:gridCol w:w="90"/>
      </w:tblGrid>
      <w:tr w:rsidR="00AE4A53" w:rsidRPr="00AE4A53" w:rsidTr="00AE4A53">
        <w:trPr>
          <w:gridAfter w:val="2"/>
        </w:trPr>
        <w:tc>
          <w:tcPr>
            <w:tcW w:w="0" w:type="auto"/>
            <w:gridSpan w:val="2"/>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p>
        </w:tc>
        <w:tc>
          <w:tcPr>
            <w:tcW w:w="0" w:type="auto"/>
            <w:tcBorders>
              <w:right w:val="single" w:sz="4" w:space="0" w:color="auto"/>
            </w:tcBorders>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bookmarkStart w:id="0" w:name="_GoBack"/>
            <w:bookmarkEnd w:id="0"/>
          </w:p>
        </w:tc>
        <w:tc>
          <w:tcPr>
            <w:tcW w:w="0" w:type="auto"/>
            <w:tcBorders>
              <w:right w:val="single" w:sz="4" w:space="0" w:color="auto"/>
            </w:tcBorders>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r>
      <w:tr w:rsidR="00AE4A53" w:rsidRPr="00AE4A53" w:rsidTr="00AE4A53">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1114.17</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IV</w:t>
            </w:r>
          </w:p>
        </w:tc>
        <w:tc>
          <w:tcPr>
            <w:tcW w:w="0" w:type="auto"/>
            <w:gridSpan w:val="2"/>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Akten über Verfügungen von Todes wegen (Testamente, Erbverträge, Erklärungen gemäß § 13 EHRV)</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r>
      <w:tr w:rsidR="00AE4A53" w:rsidRPr="00AE4A53" w:rsidTr="00AE4A53">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a)</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soweit sie lediglich zurückgegebene Verfügungen von Todes wegen betreffen</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br/>
              <w:t>5 Jahre</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r>
      <w:tr w:rsidR="00AE4A53" w:rsidRPr="00AE4A53" w:rsidTr="00AE4A53">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b)</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sonstige</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130 Jahre</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r>
      <w:tr w:rsidR="00AE4A53" w:rsidRPr="00AE4A53" w:rsidTr="00AE4A53">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1114.18</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a)</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Verwahrungsbücher über Verfügungen von Todes wegen</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br/>
              <w:t>30 Jahre</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r>
      <w:tr w:rsidR="00AE4A53" w:rsidRPr="00AE4A53" w:rsidTr="00AE4A53">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b)</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die zu den Verwahrungsbüchern über Verfügungen von Todes wegen gehörenden Belege</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br/>
            </w:r>
            <w:r w:rsidRPr="00AE4A53">
              <w:rPr>
                <w:rFonts w:ascii="Times New Roman" w:eastAsia="Times New Roman" w:hAnsi="Times New Roman" w:cs="Times New Roman"/>
                <w:sz w:val="24"/>
                <w:szCs w:val="24"/>
                <w:lang w:eastAsia="de-DE"/>
              </w:rPr>
              <w:br/>
              <w:t>30 Jahre</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r>
      <w:tr w:rsidR="00AE4A53" w:rsidRPr="00AE4A53" w:rsidTr="00AE4A53">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c)</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Sammelakten mit den Anzeigen über auswärts hinterlegte Testamente</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br/>
              <w:t>130 Jahre</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r>
      <w:tr w:rsidR="00AE4A53" w:rsidRPr="00AE4A53" w:rsidTr="00AE4A53">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1114.19</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V</w:t>
            </w:r>
          </w:p>
        </w:tc>
        <w:tc>
          <w:tcPr>
            <w:tcW w:w="0" w:type="auto"/>
            <w:gridSpan w:val="2"/>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Akten über die Vermittlung von Auseinandersetzungen</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br/>
              <w:t>30 Jahre</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xml:space="preserve">Auseinandersetzungsverträge unter Miterben oder Teilnehmern an einer Gütergemeinschaft und sonstige in das </w:t>
            </w:r>
            <w:proofErr w:type="spellStart"/>
            <w:r w:rsidRPr="00AE4A53">
              <w:rPr>
                <w:rFonts w:ascii="Times New Roman" w:eastAsia="Times New Roman" w:hAnsi="Times New Roman" w:cs="Times New Roman"/>
                <w:sz w:val="24"/>
                <w:szCs w:val="24"/>
                <w:lang w:eastAsia="de-DE"/>
              </w:rPr>
              <w:t>Urkundsregister</w:t>
            </w:r>
            <w:proofErr w:type="spellEnd"/>
            <w:r w:rsidRPr="00AE4A53">
              <w:rPr>
                <w:rFonts w:ascii="Times New Roman" w:eastAsia="Times New Roman" w:hAnsi="Times New Roman" w:cs="Times New Roman"/>
                <w:sz w:val="24"/>
                <w:szCs w:val="24"/>
                <w:lang w:eastAsia="de-DE"/>
              </w:rPr>
              <w:t xml:space="preserve"> unter I eingetragene Beurkundungen</w:t>
            </w:r>
            <w:r w:rsidRPr="00AE4A53">
              <w:rPr>
                <w:rFonts w:ascii="Times New Roman" w:eastAsia="Times New Roman" w:hAnsi="Times New Roman" w:cs="Times New Roman"/>
                <w:sz w:val="24"/>
                <w:szCs w:val="24"/>
                <w:lang w:eastAsia="de-DE"/>
              </w:rPr>
              <w:br/>
              <w:t>(siehe Nr. 1114.12 Buchstabe a)</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r>
      <w:tr w:rsidR="00AE4A53" w:rsidRPr="00AE4A53" w:rsidTr="00AE4A53">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1114.20</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VI</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a)</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Akten über sonstige Handlungen des Nachlassgerichts</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br/>
              <w:t>30 Jahre</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xml:space="preserve">Erbscheine, Europäische Nachlasszeugnisse, gerichtlich beurkundete </w:t>
            </w:r>
            <w:proofErr w:type="spellStart"/>
            <w:r w:rsidRPr="00AE4A53">
              <w:rPr>
                <w:rFonts w:ascii="Times New Roman" w:eastAsia="Times New Roman" w:hAnsi="Times New Roman" w:cs="Times New Roman"/>
                <w:sz w:val="24"/>
                <w:szCs w:val="24"/>
                <w:lang w:eastAsia="de-DE"/>
              </w:rPr>
              <w:t>Erbscheinsanträge</w:t>
            </w:r>
            <w:proofErr w:type="spellEnd"/>
            <w:r w:rsidRPr="00AE4A53">
              <w:rPr>
                <w:rFonts w:ascii="Times New Roman" w:eastAsia="Times New Roman" w:hAnsi="Times New Roman" w:cs="Times New Roman"/>
                <w:sz w:val="24"/>
                <w:szCs w:val="24"/>
                <w:lang w:eastAsia="de-DE"/>
              </w:rPr>
              <w:t>, Urkunden über die Übertragung eines Erbteils, Zeugnisse über Ernennung eines Testamentsvollstreckers und ähnliche Zeugnisse, ferner Ausschlagungen von Erbschaften und Erbverzichtsverträge sowie Unterlagen über die Anfechtung von Verfügungen von Todes wegen (siehe Nr. 1114.20 Buchstabe c); soweit keine gesonderten Akten über Verfügungen von Todes wegen geführt werden auch die in Nr. 1114.17 Buchstabe b genannten Unterlagen</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r>
      <w:tr w:rsidR="00AE4A53" w:rsidRPr="00AE4A53" w:rsidTr="00AE4A53">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b)</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Sammelakten mit Sterbefallnachrichten und -anzeigen</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r>
      <w:tr w:rsidR="00AE4A53" w:rsidRPr="00AE4A53" w:rsidTr="00AE4A53">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roofErr w:type="spellStart"/>
            <w:r w:rsidRPr="00AE4A53">
              <w:rPr>
                <w:rFonts w:ascii="Times New Roman" w:eastAsia="Times New Roman" w:hAnsi="Times New Roman" w:cs="Times New Roman"/>
                <w:sz w:val="24"/>
                <w:szCs w:val="24"/>
                <w:lang w:eastAsia="de-DE"/>
              </w:rPr>
              <w:t>aa</w:t>
            </w:r>
            <w:proofErr w:type="spellEnd"/>
            <w:r w:rsidRPr="00AE4A53">
              <w:rPr>
                <w:rFonts w:ascii="Times New Roman" w:eastAsia="Times New Roman" w:hAnsi="Times New Roman" w:cs="Times New Roman"/>
                <w:sz w:val="24"/>
                <w:szCs w:val="24"/>
                <w:lang w:eastAsia="de-DE"/>
              </w:rPr>
              <w:t>) der Standesämter und des Amtsgerichts Schöneberg (Hauptkartei für Testamente)</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br/>
            </w:r>
            <w:r w:rsidRPr="00AE4A53">
              <w:rPr>
                <w:rFonts w:ascii="Times New Roman" w:eastAsia="Times New Roman" w:hAnsi="Times New Roman" w:cs="Times New Roman"/>
                <w:sz w:val="24"/>
                <w:szCs w:val="24"/>
                <w:lang w:eastAsia="de-DE"/>
              </w:rPr>
              <w:br/>
              <w:t>30 Jahre</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r>
      <w:tr w:rsidR="00AE4A53" w:rsidRPr="00AE4A53" w:rsidTr="00AE4A53">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lastRenderedPageBreak/>
              <w:t> </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proofErr w:type="spellStart"/>
            <w:r w:rsidRPr="00AE4A53">
              <w:rPr>
                <w:rFonts w:ascii="Times New Roman" w:eastAsia="Times New Roman" w:hAnsi="Times New Roman" w:cs="Times New Roman"/>
                <w:sz w:val="24"/>
                <w:szCs w:val="24"/>
                <w:lang w:eastAsia="de-DE"/>
              </w:rPr>
              <w:t>bb</w:t>
            </w:r>
            <w:proofErr w:type="spellEnd"/>
            <w:r w:rsidRPr="00AE4A53">
              <w:rPr>
                <w:rFonts w:ascii="Times New Roman" w:eastAsia="Times New Roman" w:hAnsi="Times New Roman" w:cs="Times New Roman"/>
                <w:sz w:val="24"/>
                <w:szCs w:val="24"/>
                <w:lang w:eastAsia="de-DE"/>
              </w:rPr>
              <w:t xml:space="preserve">) des Zentralen Testamentsregisters nach § 78e Satz 3 </w:t>
            </w:r>
            <w:proofErr w:type="spellStart"/>
            <w:r w:rsidRPr="00AE4A53">
              <w:rPr>
                <w:rFonts w:ascii="Times New Roman" w:eastAsia="Times New Roman" w:hAnsi="Times New Roman" w:cs="Times New Roman"/>
                <w:sz w:val="24"/>
                <w:szCs w:val="24"/>
                <w:lang w:eastAsia="de-DE"/>
              </w:rPr>
              <w:t>BNotO</w:t>
            </w:r>
            <w:proofErr w:type="spellEnd"/>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br/>
              <w:t>1 Jahr</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r>
      <w:tr w:rsidR="00AE4A53" w:rsidRPr="00AE4A53" w:rsidTr="00AE4A53">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tcBorders>
              <w:right w:val="single" w:sz="4" w:space="0" w:color="auto"/>
            </w:tcBorders>
            <w:hideMark/>
          </w:tcPr>
          <w:p w:rsidR="00AE4A53" w:rsidRPr="00AE4A53" w:rsidRDefault="00AE4A53" w:rsidP="00AE4A53">
            <w:pPr>
              <w:spacing w:after="0" w:line="240" w:lineRule="auto"/>
              <w:jc w:val="center"/>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w:t>
            </w:r>
          </w:p>
        </w:tc>
        <w:tc>
          <w:tcPr>
            <w:tcW w:w="0" w:type="auto"/>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c)</w:t>
            </w:r>
          </w:p>
        </w:tc>
        <w:tc>
          <w:tcPr>
            <w:tcW w:w="0" w:type="auto"/>
            <w:tcBorders>
              <w:right w:val="single" w:sz="4" w:space="0" w:color="auto"/>
            </w:tcBorders>
            <w:hideMark/>
          </w:tcPr>
          <w:p w:rsidR="00AE4A53" w:rsidRPr="00AE4A53" w:rsidRDefault="00AE4A53" w:rsidP="00AE4A53">
            <w:pPr>
              <w:spacing w:after="0" w:line="240" w:lineRule="auto"/>
              <w:rPr>
                <w:rFonts w:ascii="Times New Roman" w:eastAsia="Times New Roman" w:hAnsi="Times New Roman" w:cs="Times New Roman"/>
                <w:sz w:val="24"/>
                <w:szCs w:val="24"/>
                <w:lang w:eastAsia="de-DE"/>
              </w:rPr>
            </w:pPr>
            <w:r w:rsidRPr="00AE4A53">
              <w:rPr>
                <w:rFonts w:ascii="Times New Roman" w:eastAsia="Times New Roman" w:hAnsi="Times New Roman" w:cs="Times New Roman"/>
                <w:sz w:val="24"/>
                <w:szCs w:val="24"/>
                <w:lang w:eastAsia="de-DE"/>
              </w:rPr>
              <w:t xml:space="preserve">Erbscheine, Europäische Nachlasszeugnisse, gerichtlich beurkundete </w:t>
            </w:r>
            <w:proofErr w:type="spellStart"/>
            <w:r w:rsidRPr="00AE4A53">
              <w:rPr>
                <w:rFonts w:ascii="Times New Roman" w:eastAsia="Times New Roman" w:hAnsi="Times New Roman" w:cs="Times New Roman"/>
                <w:sz w:val="24"/>
                <w:szCs w:val="24"/>
                <w:lang w:eastAsia="de-DE"/>
              </w:rPr>
              <w:t>Erbscheinsanträge</w:t>
            </w:r>
            <w:proofErr w:type="spellEnd"/>
            <w:r w:rsidRPr="00AE4A53">
              <w:rPr>
                <w:rFonts w:ascii="Times New Roman" w:eastAsia="Times New Roman" w:hAnsi="Times New Roman" w:cs="Times New Roman"/>
                <w:sz w:val="24"/>
                <w:szCs w:val="24"/>
                <w:lang w:eastAsia="de-DE"/>
              </w:rPr>
              <w:t>, Urkunden zur Übertragung eines Erbteils, Zeugnisse über Ernennung eines Testamentsvollstreckers und ähnliche Zeugnisse, ferner Ausschlagungen von Erbschaften und Erbverzichtsverträge sowie Unterlagen über die Anfechtung von Verfügungen von Todes wegen</w:t>
            </w:r>
          </w:p>
        </w:tc>
        <w:tc>
          <w:tcPr>
            <w:tcW w:w="0" w:type="auto"/>
            <w:vAlign w:val="center"/>
            <w:hideMark/>
          </w:tcPr>
          <w:p w:rsidR="00AE4A53" w:rsidRPr="00AE4A53" w:rsidRDefault="00AE4A53" w:rsidP="00AE4A53">
            <w:pPr>
              <w:spacing w:after="0" w:line="240" w:lineRule="auto"/>
              <w:rPr>
                <w:rFonts w:ascii="Times New Roman" w:eastAsia="Times New Roman" w:hAnsi="Times New Roman" w:cs="Times New Roman"/>
                <w:sz w:val="20"/>
                <w:szCs w:val="20"/>
                <w:lang w:eastAsia="de-DE"/>
              </w:rPr>
            </w:pPr>
          </w:p>
        </w:tc>
        <w:tc>
          <w:tcPr>
            <w:tcW w:w="0" w:type="auto"/>
            <w:vAlign w:val="center"/>
            <w:hideMark/>
          </w:tcPr>
          <w:p w:rsidR="00AE4A53" w:rsidRPr="00AE4A53" w:rsidRDefault="00AE4A53" w:rsidP="00AE4A53">
            <w:pPr>
              <w:spacing w:after="0" w:line="240" w:lineRule="auto"/>
              <w:rPr>
                <w:rFonts w:ascii="Times New Roman" w:eastAsia="Times New Roman" w:hAnsi="Times New Roman" w:cs="Times New Roman"/>
                <w:sz w:val="20"/>
                <w:szCs w:val="20"/>
                <w:lang w:eastAsia="de-DE"/>
              </w:rPr>
            </w:pPr>
          </w:p>
        </w:tc>
        <w:tc>
          <w:tcPr>
            <w:tcW w:w="0" w:type="auto"/>
            <w:vAlign w:val="center"/>
            <w:hideMark/>
          </w:tcPr>
          <w:p w:rsidR="00AE4A53" w:rsidRPr="00AE4A53" w:rsidRDefault="00AE4A53" w:rsidP="00AE4A53">
            <w:pPr>
              <w:spacing w:after="0" w:line="240" w:lineRule="auto"/>
              <w:rPr>
                <w:rFonts w:ascii="Times New Roman" w:eastAsia="Times New Roman" w:hAnsi="Times New Roman" w:cs="Times New Roman"/>
                <w:sz w:val="20"/>
                <w:szCs w:val="20"/>
                <w:lang w:eastAsia="de-DE"/>
              </w:rPr>
            </w:pPr>
          </w:p>
        </w:tc>
      </w:tr>
    </w:tbl>
    <w:p w:rsidR="00531B7F" w:rsidRDefault="00531B7F"/>
    <w:sectPr w:rsidR="00531B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A53"/>
    <w:rsid w:val="00531B7F"/>
    <w:rsid w:val="00AE4A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F2D782-FACE-403C-8DBA-150C3C1D2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1704</Characters>
  <Application>Microsoft Office Word</Application>
  <DocSecurity>0</DocSecurity>
  <Lines>14</Lines>
  <Paragraphs>3</Paragraphs>
  <ScaleCrop>false</ScaleCrop>
  <Company>ITDZ-Berlin</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Neuendorf-Schulz, Simone</dc:creator>
  <cp:keywords/>
  <dc:description/>
  <cp:lastModifiedBy>Neuendorf-Schulz, Simone</cp:lastModifiedBy>
  <cp:revision>1</cp:revision>
  <dcterms:created xsi:type="dcterms:W3CDTF">2024-07-04T07:15:00Z</dcterms:created>
  <dcterms:modified xsi:type="dcterms:W3CDTF">2024-07-04T07:18:00Z</dcterms:modified>
</cp:coreProperties>
</file>