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EB" w:rsidRDefault="00D91BEB" w:rsidP="00D91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Präsident des Kammergerichts</w:t>
      </w:r>
      <w:r>
        <w:rPr>
          <w:rFonts w:ascii="Arial" w:hAnsi="Arial" w:cs="Arial"/>
          <w:sz w:val="22"/>
          <w:szCs w:val="22"/>
        </w:rPr>
        <w:br/>
        <w:t>Referat für Aus- und Fortbildung</w:t>
      </w:r>
    </w:p>
    <w:p w:rsidR="00D91BEB" w:rsidRDefault="00D91BEB" w:rsidP="00D91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2326 E - A 19</w:t>
      </w:r>
    </w:p>
    <w:p w:rsidR="00D91BEB" w:rsidRDefault="00D91BEB" w:rsidP="00D91BEB">
      <w:pPr>
        <w:rPr>
          <w:rFonts w:ascii="Arial" w:hAnsi="Arial" w:cs="Arial"/>
          <w:sz w:val="20"/>
          <w:szCs w:val="20"/>
        </w:rPr>
      </w:pPr>
    </w:p>
    <w:p w:rsidR="00D91BEB" w:rsidRDefault="00D91BEB" w:rsidP="00D91BEB">
      <w:pPr>
        <w:rPr>
          <w:rFonts w:ascii="Arial" w:hAnsi="Arial" w:cs="Arial"/>
          <w:sz w:val="20"/>
          <w:szCs w:val="20"/>
        </w:rPr>
      </w:pPr>
    </w:p>
    <w:p w:rsidR="00D91BEB" w:rsidRDefault="00D91BEB" w:rsidP="00D91BEB">
      <w:pPr>
        <w:rPr>
          <w:rFonts w:ascii="Arial" w:hAnsi="Arial" w:cs="Arial"/>
          <w:sz w:val="20"/>
          <w:szCs w:val="20"/>
        </w:rPr>
      </w:pPr>
    </w:p>
    <w:p w:rsidR="00D91BEB" w:rsidRDefault="00D91BEB" w:rsidP="00D91BEB">
      <w:pPr>
        <w:rPr>
          <w:rFonts w:ascii="Arial" w:hAnsi="Arial" w:cs="Arial"/>
          <w:sz w:val="20"/>
          <w:szCs w:val="20"/>
        </w:rPr>
      </w:pPr>
    </w:p>
    <w:p w:rsidR="00D91BEB" w:rsidRDefault="009A386A" w:rsidP="00D91BE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Grundbuchsachen</w:t>
      </w:r>
    </w:p>
    <w:p w:rsidR="00D91BEB" w:rsidRDefault="00D91BEB" w:rsidP="00D91BEB">
      <w:pPr>
        <w:tabs>
          <w:tab w:val="left" w:pos="3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 Vorbereitungsdienst für die Laufbahn des allgemeinen Justizdienstes</w:t>
      </w:r>
    </w:p>
    <w:p w:rsidR="008541E5" w:rsidRPr="008541E5" w:rsidRDefault="00E65DD8" w:rsidP="00D91BEB">
      <w:pPr>
        <w:tabs>
          <w:tab w:val="left" w:pos="360"/>
        </w:tabs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Mit Wirkung</w:t>
      </w:r>
      <w:r w:rsidR="008541E5" w:rsidRPr="008541E5">
        <w:rPr>
          <w:rFonts w:ascii="Arial" w:hAnsi="Arial" w:cs="Arial"/>
          <w:b/>
          <w:color w:val="FF0000"/>
          <w:sz w:val="22"/>
          <w:szCs w:val="22"/>
        </w:rPr>
        <w:t xml:space="preserve"> ab 01.09.202</w:t>
      </w:r>
      <w:r w:rsidR="009D3081">
        <w:rPr>
          <w:rFonts w:ascii="Arial" w:hAnsi="Arial" w:cs="Arial"/>
          <w:b/>
          <w:color w:val="FF0000"/>
          <w:sz w:val="22"/>
          <w:szCs w:val="22"/>
        </w:rPr>
        <w:t>3</w:t>
      </w:r>
    </w:p>
    <w:p w:rsidR="00D91BEB" w:rsidRDefault="00D91BEB" w:rsidP="00D91BEB">
      <w:pPr>
        <w:tabs>
          <w:tab w:val="left" w:pos="3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D91BEB" w:rsidRDefault="00D91BEB" w:rsidP="00D91BEB">
      <w:pPr>
        <w:tabs>
          <w:tab w:val="left" w:pos="36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D91BEB" w:rsidRDefault="00D91BEB" w:rsidP="00D91BEB">
      <w:pPr>
        <w:tabs>
          <w:tab w:val="left" w:pos="360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D91BEB" w:rsidRDefault="00D91BEB" w:rsidP="00D91BEB">
      <w:pPr>
        <w:tabs>
          <w:tab w:val="left" w:pos="360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D91BEB" w:rsidRDefault="00D91BEB" w:rsidP="00D91BEB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Vorbemerkungen:</w:t>
      </w:r>
    </w:p>
    <w:p w:rsidR="00D91BEB" w:rsidRDefault="00D91BEB" w:rsidP="00D91BE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91BEB" w:rsidRDefault="00D91BEB" w:rsidP="00D91BE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Microsoft YaHei" w:hAnsi="Arial" w:cs="Arial"/>
          <w:bCs/>
          <w:sz w:val="22"/>
          <w:szCs w:val="22"/>
          <w:lang w:eastAsia="zh-CN" w:bidi="hi-IN"/>
        </w:rPr>
        <w:t xml:space="preserve">Den Anwärter*innen sind die maßgeblichen Bestimmungen und Vorschriften zur Führung einer Geschäftsstelle des Grundbuchamtes zu erläutern. Insbesondere ist auf die </w:t>
      </w:r>
      <w:proofErr w:type="spellStart"/>
      <w:r>
        <w:rPr>
          <w:rFonts w:ascii="Arial" w:eastAsia="Microsoft YaHei" w:hAnsi="Arial" w:cs="Arial"/>
          <w:bCs/>
          <w:sz w:val="22"/>
          <w:szCs w:val="22"/>
          <w:lang w:eastAsia="zh-CN" w:bidi="hi-IN"/>
        </w:rPr>
        <w:t>Urkundsbeamtentätigkeit</w:t>
      </w:r>
      <w:proofErr w:type="spellEnd"/>
      <w:r>
        <w:rPr>
          <w:rFonts w:ascii="Arial" w:eastAsia="Microsoft YaHei" w:hAnsi="Arial" w:cs="Arial"/>
          <w:bCs/>
          <w:sz w:val="22"/>
          <w:szCs w:val="22"/>
          <w:lang w:eastAsia="zh-CN" w:bidi="hi-IN"/>
        </w:rPr>
        <w:t xml:space="preserve"> einzugehen.</w:t>
      </w:r>
      <w:r w:rsidR="009A386A">
        <w:rPr>
          <w:rFonts w:ascii="Arial" w:eastAsia="Microsoft YaHei" w:hAnsi="Arial" w:cs="Arial"/>
          <w:bCs/>
          <w:sz w:val="22"/>
          <w:szCs w:val="22"/>
          <w:lang w:eastAsia="zh-CN" w:bidi="hi-IN"/>
        </w:rPr>
        <w:t xml:space="preserve"> Anhan</w:t>
      </w:r>
      <w:r>
        <w:rPr>
          <w:rFonts w:ascii="Arial" w:eastAsia="Microsoft YaHei" w:hAnsi="Arial" w:cs="Arial"/>
          <w:bCs/>
          <w:sz w:val="22"/>
          <w:szCs w:val="22"/>
          <w:lang w:eastAsia="zh-CN" w:bidi="hi-IN"/>
        </w:rPr>
        <w:t>d praxisbezogener Fälle ist das Erlernte zu üben und zu vertiefen. Dabei soll die An</w:t>
      </w:r>
      <w:r w:rsidR="009A386A">
        <w:rPr>
          <w:rFonts w:ascii="Arial" w:eastAsia="Microsoft YaHei" w:hAnsi="Arial" w:cs="Arial"/>
          <w:bCs/>
          <w:sz w:val="22"/>
          <w:szCs w:val="22"/>
          <w:lang w:eastAsia="zh-CN" w:bidi="hi-IN"/>
        </w:rPr>
        <w:t>w</w:t>
      </w:r>
      <w:r>
        <w:rPr>
          <w:rFonts w:ascii="Arial" w:eastAsia="Microsoft YaHei" w:hAnsi="Arial" w:cs="Arial"/>
          <w:bCs/>
          <w:sz w:val="22"/>
          <w:szCs w:val="22"/>
          <w:lang w:eastAsia="zh-CN" w:bidi="hi-IN"/>
        </w:rPr>
        <w:t>e</w:t>
      </w:r>
      <w:r w:rsidR="009A386A">
        <w:rPr>
          <w:rFonts w:ascii="Arial" w:eastAsia="Microsoft YaHei" w:hAnsi="Arial" w:cs="Arial"/>
          <w:bCs/>
          <w:sz w:val="22"/>
          <w:szCs w:val="22"/>
          <w:lang w:eastAsia="zh-CN" w:bidi="hi-IN"/>
        </w:rPr>
        <w:t>nd</w:t>
      </w:r>
      <w:r>
        <w:rPr>
          <w:rFonts w:ascii="Arial" w:eastAsia="Microsoft YaHei" w:hAnsi="Arial" w:cs="Arial"/>
          <w:bCs/>
          <w:sz w:val="22"/>
          <w:szCs w:val="22"/>
          <w:lang w:eastAsia="zh-CN" w:bidi="hi-IN"/>
        </w:rPr>
        <w:t>ung des IT-Programms im Vordergrund stehen.</w:t>
      </w:r>
    </w:p>
    <w:p w:rsidR="00D91BEB" w:rsidRDefault="00D91BEB" w:rsidP="00D91BEB">
      <w:pPr>
        <w:spacing w:line="276" w:lineRule="auto"/>
        <w:jc w:val="both"/>
      </w:pPr>
    </w:p>
    <w:p w:rsidR="00D91BEB" w:rsidRDefault="00D91BEB" w:rsidP="00D91BEB"/>
    <w:p w:rsidR="00D91BEB" w:rsidRDefault="00D91BEB" w:rsidP="00D91BEB"/>
    <w:p w:rsidR="00D91BEB" w:rsidRDefault="00D91BEB" w:rsidP="00D91B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181"/>
        <w:gridCol w:w="2049"/>
        <w:gridCol w:w="2540"/>
      </w:tblGrid>
      <w:tr w:rsidR="00D91BEB" w:rsidTr="00D91BE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B" w:rsidRDefault="00D91BEB">
            <w:pPr>
              <w:spacing w:line="276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Einführungslehrgang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B" w:rsidRPr="009E1336" w:rsidRDefault="00D91BE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 w:rsidRPr="009E1336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Hauptlehrgang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B" w:rsidRPr="009E1336" w:rsidRDefault="00D91BE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 w:rsidRPr="009E1336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Klausur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B" w:rsidRDefault="00D91BEB">
            <w:pPr>
              <w:spacing w:line="276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Wiederholungslehrgang</w:t>
            </w:r>
          </w:p>
        </w:tc>
      </w:tr>
      <w:tr w:rsidR="00D91BEB" w:rsidTr="00D91BE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B" w:rsidRDefault="00D91BEB">
            <w:pPr>
              <w:spacing w:line="276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-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B" w:rsidRPr="009E1336" w:rsidRDefault="00841398" w:rsidP="0084139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28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B" w:rsidRPr="009E1336" w:rsidRDefault="00D91BE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eastAsia="en-US"/>
              </w:rPr>
            </w:pPr>
            <w:r w:rsidRPr="009E1336">
              <w:rPr>
                <w:rFonts w:ascii="Arial" w:hAnsi="Arial" w:cs="Arial"/>
                <w:color w:val="000000" w:themeColor="text1"/>
                <w:sz w:val="22"/>
                <w:lang w:eastAsia="en-US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BEB" w:rsidRDefault="00841398">
            <w:pPr>
              <w:spacing w:line="276" w:lineRule="auto"/>
              <w:jc w:val="center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4</w:t>
            </w:r>
          </w:p>
        </w:tc>
      </w:tr>
    </w:tbl>
    <w:p w:rsidR="00D91BEB" w:rsidRDefault="00D91BEB" w:rsidP="00D91BEB"/>
    <w:p w:rsidR="00CE5DC6" w:rsidRPr="00CE5DC6" w:rsidRDefault="00CE5DC6" w:rsidP="00CE5DC6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CE5DC6">
        <w:rPr>
          <w:rFonts w:ascii="Arial" w:hAnsi="Arial" w:cs="Arial"/>
          <w:sz w:val="22"/>
          <w:szCs w:val="22"/>
        </w:rPr>
        <w:t>Bei den Stunden im Hauptlehrgang und Wiederholungslehrgang handelt es sich um Richtwerte.</w:t>
      </w:r>
    </w:p>
    <w:p w:rsidR="000316F8" w:rsidRDefault="000316F8" w:rsidP="00D91BEB">
      <w:bookmarkStart w:id="0" w:name="_GoBack"/>
      <w:bookmarkEnd w:id="0"/>
    </w:p>
    <w:p w:rsidR="000316F8" w:rsidRPr="000316F8" w:rsidRDefault="000316F8" w:rsidP="000316F8">
      <w:pPr>
        <w:ind w:left="360"/>
        <w:rPr>
          <w:rFonts w:ascii="Arial" w:hAnsi="Arial" w:cs="Arial"/>
          <w:sz w:val="20"/>
          <w:szCs w:val="20"/>
        </w:rPr>
      </w:pPr>
      <w:r>
        <w:tab/>
      </w:r>
    </w:p>
    <w:tbl>
      <w:tblPr>
        <w:tblpPr w:leftFromText="141" w:rightFromText="141" w:bottomFromText="200" w:vertAnchor="page" w:horzAnchor="margin" w:tblpY="1047"/>
        <w:tblW w:w="961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82"/>
        <w:gridCol w:w="4055"/>
        <w:gridCol w:w="41"/>
        <w:gridCol w:w="1731"/>
        <w:gridCol w:w="27"/>
        <w:gridCol w:w="2079"/>
      </w:tblGrid>
      <w:tr w:rsidR="00D91BEB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91BEB" w:rsidRDefault="00D91BEB" w:rsidP="00460D3B">
            <w:pPr>
              <w:pStyle w:val="berschrift2"/>
              <w:pageBreakBefore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lastRenderedPageBreak/>
              <w:t>Groblernziel</w:t>
            </w:r>
          </w:p>
        </w:tc>
        <w:tc>
          <w:tcPr>
            <w:tcW w:w="79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396261" w:rsidRPr="00396261" w:rsidRDefault="00D91BEB" w:rsidP="00460D3B">
            <w:pPr>
              <w:pStyle w:val="berschrift2"/>
              <w:spacing w:line="276" w:lineRule="auto"/>
              <w:rPr>
                <w:rFonts w:ascii="Arial" w:hAnsi="Arial" w:cs="Arial"/>
                <w:iCs/>
                <w:color w:val="00000A"/>
                <w:sz w:val="20"/>
                <w:szCs w:val="20"/>
              </w:rPr>
            </w:pPr>
            <w:r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 xml:space="preserve">1. </w:t>
            </w:r>
            <w:r w:rsidR="006B5C1A"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Grundlagen des Grundbuches</w:t>
            </w:r>
          </w:p>
        </w:tc>
      </w:tr>
      <w:tr w:rsidR="00D91BEB" w:rsidTr="00460D3B">
        <w:trPr>
          <w:trHeight w:val="615"/>
        </w:trPr>
        <w:tc>
          <w:tcPr>
            <w:tcW w:w="168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</w:tcPr>
          <w:p w:rsidR="00D91BEB" w:rsidRDefault="00D91BEB" w:rsidP="00460D3B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</w:tcPr>
          <w:p w:rsidR="00D91BEB" w:rsidRDefault="00D91BEB" w:rsidP="00460D3B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b w:val="0"/>
                <w:color w:val="00000A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D91BEB" w:rsidRDefault="00D91BEB" w:rsidP="00460D3B">
            <w:pPr>
              <w:pStyle w:val="berschrift2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Lernzielstufe</w:t>
            </w:r>
          </w:p>
        </w:tc>
        <w:tc>
          <w:tcPr>
            <w:tcW w:w="207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91BEB" w:rsidRDefault="00D91BEB" w:rsidP="00460D3B">
            <w:pPr>
              <w:pStyle w:val="berschrift2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Anzahl Doppelstunden</w:t>
            </w:r>
          </w:p>
        </w:tc>
      </w:tr>
      <w:tr w:rsidR="00D91BEB" w:rsidTr="00460D3B">
        <w:tc>
          <w:tcPr>
            <w:tcW w:w="168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D91BEB" w:rsidRDefault="00D91BEB" w:rsidP="00460D3B">
            <w:pPr>
              <w:pStyle w:val="berschrift2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Richtlernziel</w:t>
            </w:r>
          </w:p>
        </w:tc>
        <w:tc>
          <w:tcPr>
            <w:tcW w:w="7933" w:type="dxa"/>
            <w:gridSpan w:val="5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91BEB" w:rsidRDefault="00D91BEB" w:rsidP="00CC6733">
            <w:pPr>
              <w:pStyle w:val="berschrift2"/>
              <w:spacing w:after="240"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 xml:space="preserve">1.1 </w:t>
            </w:r>
            <w:r w:rsidR="00B057D8"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Geschichtlicher Hintergrund</w:t>
            </w:r>
          </w:p>
        </w:tc>
      </w:tr>
      <w:tr w:rsidR="005B6E35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5B6E35" w:rsidRDefault="005B6E35" w:rsidP="00460D3B">
            <w:pPr>
              <w:pStyle w:val="berschrift2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Feinlernziel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8541E5" w:rsidRPr="00E65DD8" w:rsidRDefault="00441F43" w:rsidP="008541E5">
            <w:pPr>
              <w:pStyle w:val="berschrift2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 w:val="0"/>
                <w:bCs w:val="0"/>
                <w:iCs/>
                <w:color w:val="auto"/>
                <w:sz w:val="20"/>
                <w:szCs w:val="20"/>
              </w:rPr>
            </w:pPr>
            <w:r w:rsidRPr="00E65DD8">
              <w:rPr>
                <w:rFonts w:ascii="Arial" w:hAnsi="Arial" w:cs="Arial"/>
                <w:b w:val="0"/>
                <w:bCs w:val="0"/>
                <w:iCs/>
                <w:color w:val="auto"/>
                <w:sz w:val="20"/>
                <w:szCs w:val="20"/>
              </w:rPr>
              <w:t xml:space="preserve">Die Anwärter*innen erläutern die </w:t>
            </w:r>
            <w:r w:rsidR="00E22B3D" w:rsidRPr="00E65DD8">
              <w:rPr>
                <w:rFonts w:ascii="Arial" w:hAnsi="Arial" w:cs="Arial"/>
                <w:b w:val="0"/>
                <w:bCs w:val="0"/>
                <w:iCs/>
                <w:color w:val="auto"/>
                <w:sz w:val="20"/>
                <w:szCs w:val="20"/>
              </w:rPr>
              <w:t>Geschichte</w:t>
            </w:r>
            <w:r w:rsidRPr="00E65DD8">
              <w:rPr>
                <w:rFonts w:ascii="Arial" w:hAnsi="Arial" w:cs="Arial"/>
                <w:b w:val="0"/>
                <w:bCs w:val="0"/>
                <w:iCs/>
                <w:color w:val="auto"/>
                <w:sz w:val="20"/>
                <w:szCs w:val="20"/>
              </w:rPr>
              <w:t xml:space="preserve"> </w:t>
            </w:r>
            <w:r w:rsidR="005B6E35" w:rsidRPr="00E65DD8">
              <w:rPr>
                <w:rFonts w:ascii="Arial" w:hAnsi="Arial" w:cs="Arial"/>
                <w:b w:val="0"/>
                <w:bCs w:val="0"/>
                <w:iCs/>
                <w:color w:val="auto"/>
                <w:sz w:val="20"/>
                <w:szCs w:val="20"/>
              </w:rPr>
              <w:t>des Grundbuchs</w:t>
            </w:r>
            <w:r w:rsidRPr="00E65DD8">
              <w:rPr>
                <w:rFonts w:ascii="Arial" w:hAnsi="Arial" w:cs="Arial"/>
                <w:b w:val="0"/>
                <w:bCs w:val="0"/>
                <w:iCs/>
                <w:color w:val="auto"/>
                <w:sz w:val="20"/>
                <w:szCs w:val="20"/>
              </w:rPr>
              <w:t>.</w:t>
            </w:r>
          </w:p>
          <w:p w:rsidR="008541E5" w:rsidRPr="00E65DD8" w:rsidRDefault="008541E5" w:rsidP="008541E5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E65DD8">
              <w:rPr>
                <w:rFonts w:ascii="Arial" w:hAnsi="Arial" w:cs="Arial"/>
                <w:sz w:val="20"/>
                <w:szCs w:val="20"/>
                <w:lang w:eastAsia="zh-CN"/>
              </w:rPr>
              <w:t>Abgrenzung Liegenschaftsrecht in BRD und DDR nebst Hinweis auf heutige Bezüge (z.B. Raumeigentum, etc.)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441F43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5B6E35" w:rsidRDefault="00841398" w:rsidP="00460D3B">
            <w:pPr>
              <w:pStyle w:val="berschrift2"/>
              <w:spacing w:line="276" w:lineRule="auto"/>
              <w:jc w:val="right"/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</w:pPr>
            <w:r>
              <w:rPr>
                <w:rStyle w:val="SchwacheHervorhebung1"/>
                <w:rFonts w:ascii="Arial" w:eastAsia="Calibri" w:hAnsi="Arial" w:cs="Arial"/>
                <w:color w:val="00000A"/>
                <w:sz w:val="20"/>
                <w:szCs w:val="20"/>
              </w:rPr>
              <w:t>6</w:t>
            </w:r>
            <w:r w:rsidR="005B6E35"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 xml:space="preserve"> </w:t>
            </w:r>
            <w:proofErr w:type="spellStart"/>
            <w:r w:rsidR="005B6E35"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DSt</w:t>
            </w:r>
            <w:r w:rsidR="00EE2353"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d</w:t>
            </w:r>
            <w:proofErr w:type="spellEnd"/>
            <w:r w:rsidR="005B6E35"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 xml:space="preserve">. </w:t>
            </w:r>
          </w:p>
          <w:p w:rsidR="005B6E35" w:rsidRDefault="005B6E35" w:rsidP="00460D3B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</w:tr>
      <w:tr w:rsidR="005B6E35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5B6E35" w:rsidP="00460D3B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E53809" w:rsidP="00460D3B">
            <w:pPr>
              <w:pStyle w:val="berschrift2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Sie </w:t>
            </w:r>
            <w:r w:rsidR="00B73A5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be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nennen die </w:t>
            </w:r>
            <w:r w:rsidR="005B6E3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Bildung und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den</w:t>
            </w:r>
            <w:r w:rsidR="005B6E3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Inhalt der Grundakten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E53809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B6E35" w:rsidRDefault="005B6E35" w:rsidP="00460D3B">
            <w:pPr>
              <w:rPr>
                <w:b/>
                <w:lang w:eastAsia="en-US"/>
              </w:rPr>
            </w:pPr>
          </w:p>
        </w:tc>
      </w:tr>
      <w:tr w:rsidR="005B6E35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E53809" w:rsidP="00460D3B">
            <w:pPr>
              <w:pStyle w:val="berschrift2"/>
              <w:snapToGrid w:val="0"/>
              <w:spacing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Richtlernziel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E53809" w:rsidP="00460D3B">
            <w:pPr>
              <w:pStyle w:val="berschrift2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3809">
              <w:rPr>
                <w:rFonts w:ascii="Arial" w:hAnsi="Arial" w:cs="Arial"/>
                <w:color w:val="000000" w:themeColor="text1"/>
                <w:sz w:val="20"/>
                <w:szCs w:val="20"/>
              </w:rPr>
              <w:t>1.2 Rechtsgrundlagen</w:t>
            </w:r>
          </w:p>
          <w:p w:rsidR="00273E9F" w:rsidRPr="00273E9F" w:rsidRDefault="00273E9F" w:rsidP="00273E9F">
            <w:pPr>
              <w:rPr>
                <w:lang w:eastAsia="zh-CN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5B6E35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B6E35" w:rsidRDefault="005B6E35" w:rsidP="00460D3B">
            <w:pPr>
              <w:rPr>
                <w:b/>
                <w:lang w:eastAsia="en-US"/>
              </w:rPr>
            </w:pPr>
          </w:p>
        </w:tc>
      </w:tr>
      <w:tr w:rsidR="005B6E35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246721" w:rsidP="00460D3B">
            <w:pPr>
              <w:pStyle w:val="berschrift2"/>
              <w:snapToGrid w:val="0"/>
              <w:spacing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Feinlernziel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273E9F" w:rsidP="00460D3B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Die Lernenden ordnen die Grundbuchsachen als Angelegenheiten der Freiwilligen Gerichtsbarkeit ein</w:t>
            </w:r>
            <w:r w:rsidR="00BB6CE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Pr="00B97778" w:rsidRDefault="005B6E35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777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B6E35" w:rsidRDefault="005B6E35" w:rsidP="00460D3B">
            <w:pPr>
              <w:rPr>
                <w:b/>
                <w:lang w:eastAsia="en-US"/>
              </w:rPr>
            </w:pPr>
          </w:p>
        </w:tc>
      </w:tr>
      <w:tr w:rsidR="00BB6CED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B6CED" w:rsidRDefault="00BB6CED" w:rsidP="00460D3B">
            <w:pPr>
              <w:pStyle w:val="berschrift2"/>
              <w:snapToGrid w:val="0"/>
              <w:spacing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B6CED" w:rsidRDefault="00BB6CED" w:rsidP="00460D3B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Sie erkennen, dass die formellen Verfahrensabläufe in der GBO geregelt sind.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B6CED" w:rsidRPr="00B97778" w:rsidRDefault="00BB6CED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BB6CED" w:rsidRDefault="00BB6CED" w:rsidP="00460D3B">
            <w:pPr>
              <w:rPr>
                <w:b/>
                <w:lang w:eastAsia="en-US"/>
              </w:rPr>
            </w:pPr>
          </w:p>
        </w:tc>
      </w:tr>
      <w:tr w:rsidR="00BB6CED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B6CED" w:rsidRDefault="00BB6CED" w:rsidP="00460D3B">
            <w:pPr>
              <w:pStyle w:val="berschrift2"/>
              <w:snapToGrid w:val="0"/>
              <w:spacing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B6CED" w:rsidRDefault="00BB6CED" w:rsidP="00BB6CED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Sie erkennen, dass das materielle Recht im BGB geregelt ist.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BB6CED" w:rsidRDefault="00BB6CED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BB6CED" w:rsidRDefault="00BB6CED" w:rsidP="00460D3B">
            <w:pPr>
              <w:rPr>
                <w:b/>
                <w:lang w:eastAsia="en-US"/>
              </w:rPr>
            </w:pPr>
          </w:p>
        </w:tc>
      </w:tr>
      <w:tr w:rsidR="00E22B3D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22B3D" w:rsidRDefault="00E22B3D" w:rsidP="00460D3B">
            <w:pPr>
              <w:pStyle w:val="berschrift2"/>
              <w:snapToGrid w:val="0"/>
              <w:spacing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22B3D" w:rsidRDefault="00E22B3D" w:rsidP="00BB6CED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Die Anwärter*innen</w:t>
            </w:r>
            <w:r w:rsidR="00A71D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kennen die Grundbuchverfügung und </w:t>
            </w:r>
            <w:r w:rsidR="00A71D9B" w:rsidRPr="00A71D9B">
              <w:rPr>
                <w:rFonts w:ascii="Arial" w:hAnsi="Arial" w:cs="Arial"/>
                <w:color w:val="000000" w:themeColor="text1"/>
                <w:sz w:val="20"/>
                <w:szCs w:val="20"/>
              </w:rPr>
              <w:t>die Allgemeine Verfügung über die geschäftliche Behandlung</w:t>
            </w:r>
            <w:r w:rsidR="00A71D9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E22B3D" w:rsidRDefault="00E22B3D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E22B3D" w:rsidRDefault="00E22B3D" w:rsidP="00460D3B">
            <w:pPr>
              <w:rPr>
                <w:b/>
                <w:lang w:eastAsia="en-US"/>
              </w:rPr>
            </w:pPr>
          </w:p>
        </w:tc>
      </w:tr>
      <w:tr w:rsidR="00E22B3D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22B3D" w:rsidRDefault="00E22B3D" w:rsidP="00460D3B">
            <w:pPr>
              <w:pStyle w:val="berschrift2"/>
              <w:snapToGrid w:val="0"/>
              <w:spacing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E22B3D" w:rsidRDefault="00E22B3D" w:rsidP="00BB6CED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Sie </w:t>
            </w:r>
            <w:r w:rsidR="005A6170">
              <w:rPr>
                <w:rFonts w:ascii="Arial" w:hAnsi="Arial" w:cs="Arial"/>
                <w:color w:val="000000" w:themeColor="text1"/>
                <w:sz w:val="20"/>
                <w:szCs w:val="20"/>
              </w:rPr>
              <w:t>besitzen Grundkenntnisse des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BeurkG, des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GNotKG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der ZPO und der InsO.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E22B3D" w:rsidRPr="00E65DD8" w:rsidRDefault="008541E5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5DD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E22B3D" w:rsidRDefault="00E22B3D" w:rsidP="00460D3B">
            <w:pPr>
              <w:rPr>
                <w:b/>
                <w:lang w:eastAsia="en-US"/>
              </w:rPr>
            </w:pPr>
          </w:p>
        </w:tc>
      </w:tr>
      <w:tr w:rsidR="00246721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46721" w:rsidRDefault="00246721" w:rsidP="00460D3B">
            <w:pPr>
              <w:pStyle w:val="berschrift2"/>
              <w:snapToGrid w:val="0"/>
              <w:spacing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Richtlernziel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46721" w:rsidRPr="00246721" w:rsidRDefault="00246721" w:rsidP="00BB6CED">
            <w:pPr>
              <w:pStyle w:val="Listenabsatz1"/>
              <w:spacing w:before="240" w:after="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4672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1.3 </w:t>
            </w:r>
            <w:r w:rsidR="00CC67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Einführung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246721" w:rsidRPr="00E65DD8" w:rsidRDefault="00246721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246721" w:rsidRDefault="00246721" w:rsidP="00460D3B">
            <w:pPr>
              <w:rPr>
                <w:b/>
                <w:lang w:eastAsia="en-US"/>
              </w:rPr>
            </w:pPr>
          </w:p>
        </w:tc>
      </w:tr>
      <w:tr w:rsidR="005B6E35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246721" w:rsidP="00460D3B">
            <w:pPr>
              <w:pStyle w:val="berschrift2"/>
              <w:snapToGrid w:val="0"/>
              <w:spacing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Feinlernziel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Pr="00D91BEB" w:rsidRDefault="005B6E35" w:rsidP="00460D3B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Sie erkennen die </w:t>
            </w:r>
            <w:r w:rsidRPr="00D91BEB">
              <w:rPr>
                <w:rFonts w:ascii="Arial" w:hAnsi="Arial" w:cs="Arial"/>
                <w:color w:val="000000" w:themeColor="text1"/>
                <w:sz w:val="20"/>
                <w:szCs w:val="20"/>
              </w:rPr>
              <w:t>Wirkungen des Grundbuchs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5B6E35" w:rsidRPr="00E65DD8" w:rsidRDefault="008541E5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5DD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B6E35" w:rsidRDefault="005B6E35" w:rsidP="00460D3B">
            <w:pPr>
              <w:rPr>
                <w:b/>
                <w:lang w:eastAsia="en-US"/>
              </w:rPr>
            </w:pPr>
          </w:p>
        </w:tc>
      </w:tr>
      <w:tr w:rsidR="005B6E35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5B6E35" w:rsidP="00460D3B">
            <w:pPr>
              <w:pStyle w:val="berschrift2"/>
              <w:snapToGrid w:val="0"/>
              <w:spacing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Pr="00D91BEB" w:rsidRDefault="005B6E35" w:rsidP="00460D3B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Die Anwärter*innen verstehen das </w:t>
            </w:r>
            <w:r w:rsidRPr="00D91BEB">
              <w:rPr>
                <w:rFonts w:ascii="Arial" w:hAnsi="Arial" w:cs="Arial"/>
                <w:color w:val="000000" w:themeColor="text1"/>
                <w:sz w:val="20"/>
                <w:szCs w:val="20"/>
              </w:rPr>
              <w:t>Grundstück im Rechtssinn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5B6E35" w:rsidRPr="00E65DD8" w:rsidRDefault="008541E5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5DD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B6E35" w:rsidRDefault="005B6E35" w:rsidP="00460D3B">
            <w:pPr>
              <w:rPr>
                <w:b/>
                <w:lang w:eastAsia="en-US"/>
              </w:rPr>
            </w:pPr>
          </w:p>
        </w:tc>
      </w:tr>
      <w:tr w:rsidR="00CC6733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6733" w:rsidRDefault="00CC6733" w:rsidP="00460D3B">
            <w:pPr>
              <w:pStyle w:val="berschrift2"/>
              <w:snapToGrid w:val="0"/>
              <w:spacing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CC6733" w:rsidRPr="00CC6733" w:rsidRDefault="00CC6733" w:rsidP="00460D3B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C6733">
              <w:rPr>
                <w:rFonts w:ascii="Arial" w:hAnsi="Arial" w:cs="Arial"/>
                <w:color w:val="000000" w:themeColor="text1"/>
                <w:sz w:val="20"/>
                <w:szCs w:val="20"/>
              </w:rPr>
              <w:t>Die Anwärter*innen geben die katastermäßigen Begriffe an.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CC6733" w:rsidRPr="00E65DD8" w:rsidRDefault="00CC6733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5DD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CC6733" w:rsidRDefault="00CC6733" w:rsidP="00460D3B">
            <w:pPr>
              <w:rPr>
                <w:b/>
                <w:lang w:eastAsia="en-US"/>
              </w:rPr>
            </w:pPr>
          </w:p>
        </w:tc>
      </w:tr>
      <w:tr w:rsidR="005B6E35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5B6E35" w:rsidP="00460D3B">
            <w:pPr>
              <w:pStyle w:val="berschrift2"/>
              <w:snapToGrid w:val="0"/>
              <w:spacing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Pr="00D91BEB" w:rsidRDefault="005B6E35" w:rsidP="00460D3B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Sie </w:t>
            </w:r>
            <w:r w:rsidR="00BE1E28">
              <w:rPr>
                <w:rFonts w:ascii="Arial" w:hAnsi="Arial" w:cs="Arial"/>
                <w:color w:val="000000" w:themeColor="text1"/>
                <w:sz w:val="20"/>
                <w:szCs w:val="20"/>
              </w:rPr>
              <w:t>beherrschen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den Aufbau des Grundbuches.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BE1E28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B6E35" w:rsidRDefault="005B6E35" w:rsidP="00460D3B">
            <w:pPr>
              <w:rPr>
                <w:b/>
                <w:lang w:eastAsia="en-US"/>
              </w:rPr>
            </w:pPr>
          </w:p>
        </w:tc>
      </w:tr>
      <w:tr w:rsidR="005B6E35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5B6E35" w:rsidP="00460D3B">
            <w:pPr>
              <w:pStyle w:val="berschrift2"/>
              <w:snapToGrid w:val="0"/>
              <w:spacing w:after="240" w:line="276" w:lineRule="auto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5B6E35" w:rsidP="00460D3B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Die Lernenden nennen die sachliche und örtliche Zuständigkeit des Grundbuchamtes.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BE1E28" w:rsidP="00460D3B">
            <w:pPr>
              <w:pStyle w:val="berschrift2"/>
              <w:spacing w:after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B6E35" w:rsidRDefault="005B6E35" w:rsidP="00460D3B">
            <w:pPr>
              <w:rPr>
                <w:b/>
                <w:lang w:eastAsia="en-US"/>
              </w:rPr>
            </w:pPr>
          </w:p>
        </w:tc>
      </w:tr>
      <w:tr w:rsidR="005B6E35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5B6E35" w:rsidP="00460D3B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Pr="00D91BEB" w:rsidRDefault="00DE592C" w:rsidP="00A71D9B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Die Lernenden </w:t>
            </w:r>
            <w:r w:rsidR="00A71D9B">
              <w:rPr>
                <w:rFonts w:ascii="Arial" w:hAnsi="Arial" w:cs="Arial"/>
                <w:color w:val="000000" w:themeColor="text1"/>
                <w:sz w:val="20"/>
                <w:szCs w:val="20"/>
              </w:rPr>
              <w:t>beherrschen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 </w:t>
            </w:r>
            <w:r w:rsidR="005B6E35" w:rsidRPr="00D91BEB">
              <w:rPr>
                <w:rFonts w:ascii="Arial" w:hAnsi="Arial" w:cs="Arial"/>
                <w:color w:val="000000" w:themeColor="text1"/>
                <w:sz w:val="20"/>
                <w:szCs w:val="20"/>
              </w:rPr>
              <w:t>Erscheinungsformen des Eigentums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5B6E35" w:rsidRDefault="00A71D9B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5B6E35" w:rsidRDefault="005B6E35" w:rsidP="00460D3B">
            <w:pPr>
              <w:rPr>
                <w:b/>
                <w:lang w:eastAsia="en-US"/>
              </w:rPr>
            </w:pPr>
          </w:p>
        </w:tc>
      </w:tr>
      <w:tr w:rsidR="005B6E35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5B6E35" w:rsidP="00460D3B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B6E35" w:rsidRDefault="005B6E35" w:rsidP="00BC1922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Die Anwärter*innen </w:t>
            </w:r>
            <w:r w:rsidR="00BC1922">
              <w:rPr>
                <w:rFonts w:ascii="Arial" w:hAnsi="Arial" w:cs="Arial"/>
                <w:color w:val="000000" w:themeColor="text1"/>
                <w:sz w:val="20"/>
                <w:szCs w:val="20"/>
              </w:rPr>
              <w:t>nennen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 dinglichen Rechte.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5B6E35" w:rsidRDefault="005B6E35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5B6E35" w:rsidRDefault="005B6E35" w:rsidP="00460D3B">
            <w:pPr>
              <w:rPr>
                <w:b/>
                <w:lang w:eastAsia="en-US"/>
              </w:rPr>
            </w:pPr>
          </w:p>
        </w:tc>
      </w:tr>
      <w:tr w:rsidR="005B6E35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5B6E35" w:rsidRDefault="005B6E35" w:rsidP="00460D3B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5B6E35" w:rsidRPr="009E1336" w:rsidRDefault="005A6170" w:rsidP="00460D3B">
            <w:pPr>
              <w:pStyle w:val="berschrift2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Sie erfassen</w:t>
            </w:r>
            <w:r w:rsidR="005B6E3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die </w:t>
            </w:r>
            <w:r w:rsidR="005B6E35" w:rsidRPr="009E133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Entstehung dinglicher Rechte</w:t>
            </w:r>
            <w:r w:rsidR="005B6E35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5B6E35" w:rsidRDefault="00A71D9B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:rsidR="005B6E35" w:rsidRDefault="005B6E35" w:rsidP="00460D3B">
            <w:pPr>
              <w:rPr>
                <w:b/>
                <w:lang w:eastAsia="en-US"/>
              </w:rPr>
            </w:pPr>
          </w:p>
        </w:tc>
      </w:tr>
      <w:tr w:rsidR="006B5C1A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6B5C1A" w:rsidRPr="006B5C1A" w:rsidRDefault="006B5C1A" w:rsidP="00460D3B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6B5C1A"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Groblernziel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6B5C1A" w:rsidRPr="006B5C1A" w:rsidRDefault="006B5C1A" w:rsidP="00460D3B">
            <w:pPr>
              <w:pStyle w:val="berschrift2"/>
              <w:spacing w:after="24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5C1A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  <w:r w:rsidR="00D25D8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Das Eintragungsverfahren auf Antrag oder Ersuchen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6B5C1A" w:rsidRDefault="006B5C1A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6B5C1A" w:rsidRDefault="00841398" w:rsidP="00460D3B">
            <w:pPr>
              <w:jc w:val="right"/>
              <w:rPr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eastAsia="en-US"/>
              </w:rPr>
              <w:t>5</w:t>
            </w:r>
            <w:r w:rsidR="0064417F" w:rsidRPr="006015B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="0064417F" w:rsidRPr="006015B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DStd</w:t>
            </w:r>
            <w:proofErr w:type="spellEnd"/>
            <w:r w:rsidR="0064417F" w:rsidRPr="006015B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.</w:t>
            </w:r>
          </w:p>
        </w:tc>
      </w:tr>
      <w:tr w:rsidR="0094698C" w:rsidTr="00275773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94698C" w:rsidRPr="006B5C1A" w:rsidRDefault="0094698C" w:rsidP="00460D3B">
            <w:pPr>
              <w:pStyle w:val="berschrift2"/>
              <w:snapToGrid w:val="0"/>
              <w:spacing w:line="276" w:lineRule="auto"/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94698C" w:rsidRPr="006B5C1A" w:rsidRDefault="0094698C" w:rsidP="00460D3B">
            <w:pPr>
              <w:pStyle w:val="berschrift2"/>
              <w:spacing w:after="24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2.1 Der Antrag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94698C" w:rsidRDefault="0094698C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:rsidR="0094698C" w:rsidRDefault="0094698C" w:rsidP="00460D3B">
            <w:pPr>
              <w:jc w:val="right"/>
              <w:rPr>
                <w:rFonts w:ascii="Arial" w:hAnsi="Arial" w:cs="Arial"/>
                <w:b/>
                <w:sz w:val="20"/>
                <w:szCs w:val="18"/>
                <w:lang w:eastAsia="en-US"/>
              </w:rPr>
            </w:pPr>
          </w:p>
        </w:tc>
      </w:tr>
      <w:tr w:rsidR="0094698C" w:rsidTr="00275773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60D3B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60D3B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Die Lernenden ordnen ein, dass das Grundbuch ein öffentliches Register darstellt.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94698C" w:rsidRDefault="0094698C" w:rsidP="00460D3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94698C" w:rsidTr="0009278E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60D3B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60D3B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Die Anwärter*innen beschreiben das Antragsprinzip.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60D3B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94698C" w:rsidRDefault="0094698C" w:rsidP="00460D3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94698C" w:rsidTr="001B2334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Pr="004D6959" w:rsidRDefault="0094698C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D695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Sie kennen das Antragsrecht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Pr="004D6959" w:rsidRDefault="0094698C" w:rsidP="004D6959">
            <w:pPr>
              <w:pStyle w:val="Listenabsatz1"/>
              <w:spacing w:before="240"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D695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94698C" w:rsidRDefault="0094698C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4698C" w:rsidTr="00C1480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Pr="005A6170" w:rsidRDefault="0094698C" w:rsidP="005A6170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5A617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und unterscheiden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zwischen den </w:t>
            </w:r>
            <w:r w:rsidRPr="005A617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Antragsberechtigten.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Pr="004D6959" w:rsidRDefault="0094698C" w:rsidP="004D6959">
            <w:pPr>
              <w:pStyle w:val="Listenabsatz1"/>
              <w:spacing w:before="240" w:after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94698C" w:rsidRDefault="0094698C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4698C" w:rsidTr="00C6247B">
        <w:trPr>
          <w:trHeight w:val="683"/>
        </w:trPr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D6959">
            <w:pPr>
              <w:pStyle w:val="berschrift2"/>
              <w:snapToGrid w:val="0"/>
              <w:spacing w:after="24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D6959">
            <w:pPr>
              <w:pStyle w:val="Listenabsatz1"/>
              <w:spacing w:before="240" w:after="0" w:line="240" w:lineRule="auto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Sie beherrschen die Bildung von Aktenzeichen und Geschäftszeichen.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D6959">
            <w:pPr>
              <w:pStyle w:val="berschrift2"/>
              <w:spacing w:after="2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94698C" w:rsidRDefault="0094698C" w:rsidP="004D6959">
            <w:pPr>
              <w:spacing w:after="24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D91BEB" w:rsidRDefault="004D6959" w:rsidP="005A6170">
            <w:pPr>
              <w:pStyle w:val="Listenabsatz1"/>
              <w:tabs>
                <w:tab w:val="left" w:pos="1002"/>
              </w:tabs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Die Lernenden beschreiben die Besonderheiten der Aktenführung</w:t>
            </w:r>
            <w:r w:rsidR="005A617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Grundbuchsachen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Pr="006015BD" w:rsidRDefault="004D6959" w:rsidP="004D695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1830">
              <w:rPr>
                <w:rFonts w:ascii="Arial" w:hAnsi="Arial" w:cs="Arial"/>
                <w:color w:val="000000" w:themeColor="text1"/>
                <w:sz w:val="20"/>
                <w:szCs w:val="20"/>
              </w:rPr>
              <w:t>Sie kennen die Ordnungsnummer.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B73A58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Sie </w:t>
            </w:r>
            <w:r w:rsidR="00B73A58">
              <w:rPr>
                <w:rFonts w:ascii="Arial" w:hAnsi="Arial" w:cs="Arial"/>
                <w:color w:val="000000" w:themeColor="text1"/>
                <w:sz w:val="20"/>
                <w:szCs w:val="20"/>
              </w:rPr>
              <w:t>verstehen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 Bedeutung des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Präsentates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A71D9B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D91BEB" w:rsidRDefault="004D6959" w:rsidP="004D6959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Die Anwärter*innen erfassen die </w:t>
            </w:r>
            <w:r w:rsidRPr="00D91B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 und </w:t>
            </w:r>
            <w:r w:rsidR="00EA64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den </w:t>
            </w:r>
            <w:r w:rsidRPr="00D91BEB">
              <w:rPr>
                <w:rFonts w:ascii="Arial" w:hAnsi="Arial" w:cs="Arial"/>
                <w:color w:val="000000" w:themeColor="text1"/>
                <w:sz w:val="20"/>
                <w:szCs w:val="20"/>
              </w:rPr>
              <w:t>Inhalt des Antrag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D91BEB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D91BEB" w:rsidRDefault="004D6959" w:rsidP="004D6959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Sie erklären die Wirkung des Antrages.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1D7D14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D7D14" w:rsidRDefault="001D7D14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D7D14" w:rsidRPr="001D7D14" w:rsidRDefault="001D7D14" w:rsidP="004D6959">
            <w:pPr>
              <w:pStyle w:val="Listenabsatz1"/>
              <w:spacing w:before="240" w:after="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7D1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2.2 Ersuchen 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D7D14" w:rsidRDefault="001D7D14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1D7D14" w:rsidRDefault="001D7D14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Die Lernenden unterscheiden das Ersuchen vom Antrag.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94698C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Die Anwärter*innen erfassen die </w:t>
            </w:r>
            <w:r w:rsidRPr="00D91BE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Form und Inhalt des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Ersuchens.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94698C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5C1A"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Groblernziel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E60123" w:rsidRDefault="004D6959" w:rsidP="004D6959">
            <w:pPr>
              <w:pStyle w:val="Listenabsatz1"/>
              <w:spacing w:before="24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6012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Dingliche Rechte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D6959" w:rsidRDefault="00841398" w:rsidP="004D695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eastAsia="en-US"/>
              </w:rPr>
              <w:t>4</w:t>
            </w:r>
            <w:r w:rsidR="004D6959" w:rsidRPr="006015B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="004D6959" w:rsidRPr="006015B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DStd</w:t>
            </w:r>
            <w:proofErr w:type="spellEnd"/>
            <w:r w:rsidR="004D6959" w:rsidRPr="006015B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.</w:t>
            </w: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Richtlernziel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6719D6" w:rsidRDefault="004D6959" w:rsidP="004D6959">
            <w:pPr>
              <w:pStyle w:val="Listenabsatz1"/>
              <w:spacing w:before="24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719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3.1 Dingliche Rechte der Abt. II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Pr="006015BD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Feinlernziel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A71D9B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Die Anwärter*innen </w:t>
            </w:r>
            <w:r w:rsidR="00A71D9B">
              <w:rPr>
                <w:rFonts w:ascii="Arial" w:hAnsi="Arial" w:cs="Arial"/>
                <w:color w:val="000000" w:themeColor="text1"/>
                <w:sz w:val="20"/>
                <w:szCs w:val="20"/>
              </w:rPr>
              <w:t>ermitteln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 dinglichen Rechte der Abt. II: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A71D9B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Pr="006015BD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Grunddienstbarkeit, §§ 1018 ff. BGB,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Pr="006015BD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Nießbrauch, §§ 1030-1089 BGB,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Pr="006015BD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Beschränkte persönliche Dienstbarkeit, §§ 1090-1092 BGB,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Pr="006015BD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Vormerkung, §§ 883 ff. BGB.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Pr="006015BD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C00BDD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00BDD">
              <w:rPr>
                <w:rFonts w:ascii="Arial" w:hAnsi="Arial" w:cs="Arial"/>
                <w:color w:val="000000" w:themeColor="text1"/>
                <w:sz w:val="20"/>
                <w:szCs w:val="20"/>
              </w:rPr>
              <w:t>Richtlernziel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C00BDD" w:rsidRDefault="004D6959" w:rsidP="004D6959">
            <w:pPr>
              <w:pStyle w:val="Listenabsatz1"/>
              <w:tabs>
                <w:tab w:val="left" w:pos="1233"/>
              </w:tabs>
              <w:spacing w:before="24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3.2 </w:t>
            </w:r>
            <w:r w:rsidRPr="00C00BD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Dingliche Rechte der Abt. III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C00BDD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Feinlernziel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C00BDD" w:rsidRDefault="004D6959" w:rsidP="00A71D9B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Die Anwärter*innen </w:t>
            </w:r>
            <w:r w:rsidR="00A71D9B">
              <w:rPr>
                <w:rFonts w:ascii="Arial" w:hAnsi="Arial" w:cs="Arial"/>
                <w:color w:val="000000" w:themeColor="text1"/>
                <w:sz w:val="20"/>
                <w:szCs w:val="20"/>
              </w:rPr>
              <w:t>beherrschen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die dinglichen Rechte der Abt. III: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A71D9B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Hypothek, §§ 1113 </w:t>
            </w:r>
            <w:r w:rsidR="00B73A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ff.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BGB,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Grundschuld, §§ 1191 ff. BGB.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6C784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Sie beschreiben </w:t>
            </w:r>
            <w:r w:rsidR="006C7849">
              <w:rPr>
                <w:rFonts w:ascii="Arial" w:hAnsi="Arial" w:cs="Arial"/>
                <w:color w:val="000000" w:themeColor="text1"/>
                <w:sz w:val="20"/>
                <w:szCs w:val="20"/>
              </w:rPr>
              <w:t>das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C7849">
              <w:rPr>
                <w:rFonts w:ascii="Arial" w:hAnsi="Arial" w:cs="Arial"/>
                <w:color w:val="000000" w:themeColor="text1"/>
                <w:sz w:val="20"/>
                <w:szCs w:val="20"/>
              </w:rPr>
              <w:t>Prinzip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der Rangverhältnisse</w:t>
            </w:r>
            <w:r w:rsidR="004F2372">
              <w:rPr>
                <w:rFonts w:ascii="Arial" w:hAnsi="Arial" w:cs="Arial"/>
                <w:color w:val="000000" w:themeColor="text1"/>
                <w:sz w:val="20"/>
                <w:szCs w:val="20"/>
              </w:rPr>
              <w:t>, § 879 BGB.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F2372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Sie benennen </w:t>
            </w:r>
            <w:r w:rsidR="004D6959">
              <w:rPr>
                <w:rFonts w:ascii="Arial" w:hAnsi="Arial" w:cs="Arial"/>
                <w:color w:val="000000" w:themeColor="text1"/>
                <w:sz w:val="20"/>
                <w:szCs w:val="20"/>
              </w:rPr>
              <w:t>rangfähige Rechte,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8541E5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und erläutern die Rangänderung</w:t>
            </w:r>
            <w:r w:rsidR="004F2372">
              <w:rPr>
                <w:rFonts w:ascii="Arial" w:hAnsi="Arial" w:cs="Arial"/>
                <w:color w:val="000000" w:themeColor="text1"/>
                <w:sz w:val="20"/>
                <w:szCs w:val="20"/>
              </w:rPr>
              <w:t>, § 881 BGB.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Lernenden definieren das Erbbaurecht.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Anwärter*innen unterscheiden Wohnungseigentum von Teileigentum,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4D6959" w:rsidRDefault="004D6959" w:rsidP="004D6959">
            <w:pPr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 wissen, wie dieses begründet wird (§§ 3, 8 WEG).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 bezeichnen das Sondereigentum.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5C1A"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Groblernziel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D35CC7" w:rsidRDefault="004D6959" w:rsidP="004D6959">
            <w:pPr>
              <w:pStyle w:val="Listenabsatz1"/>
              <w:tabs>
                <w:tab w:val="left" w:pos="1233"/>
              </w:tabs>
              <w:spacing w:before="24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35CC7">
              <w:rPr>
                <w:rFonts w:ascii="Arial" w:hAnsi="Arial" w:cs="Arial"/>
                <w:b/>
                <w:sz w:val="20"/>
                <w:szCs w:val="20"/>
              </w:rPr>
              <w:t>4. Verfahren in Grundbuchsachen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D6959" w:rsidRDefault="00841398" w:rsidP="004D6959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eastAsia="en-US"/>
              </w:rPr>
              <w:t>4</w:t>
            </w:r>
            <w:r w:rsidR="004D6959" w:rsidRPr="006015B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="004D6959" w:rsidRPr="006015B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DStd</w:t>
            </w:r>
            <w:proofErr w:type="spellEnd"/>
            <w:r w:rsidR="004D6959" w:rsidRPr="006015B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.</w:t>
            </w:r>
          </w:p>
          <w:p w:rsidR="004D6959" w:rsidRDefault="004D6959" w:rsidP="004D6959">
            <w:pPr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Richtlernziel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E60123" w:rsidRDefault="004D6959" w:rsidP="004D6959">
            <w:pPr>
              <w:pStyle w:val="Listenabsatz1"/>
              <w:tabs>
                <w:tab w:val="left" w:pos="1233"/>
              </w:tabs>
              <w:spacing w:before="24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60123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Eintragung in das Grundbuch  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D695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D695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D695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D695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D6959" w:rsidRDefault="004D6959" w:rsidP="004D695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Feinlernziel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6015BD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Anwärter*innen benennen die </w:t>
            </w:r>
            <w:r w:rsidRPr="006015BD">
              <w:rPr>
                <w:rFonts w:ascii="Arial" w:hAnsi="Arial" w:cs="Arial"/>
                <w:sz w:val="20"/>
                <w:szCs w:val="20"/>
              </w:rPr>
              <w:t>Form der Eintragungsunterlagen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4D695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6015BD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 beherrschen das Anlegen von Rotzetteln.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:rsidR="004D6959" w:rsidRDefault="004D6959" w:rsidP="004D69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Richtlernziel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F410B2" w:rsidRDefault="004D6959" w:rsidP="004D6959">
            <w:pPr>
              <w:spacing w:before="240" w:after="240"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  <w:r w:rsidRPr="00F410B2">
              <w:rPr>
                <w:rFonts w:ascii="Arial" w:hAnsi="Arial" w:cs="Arial"/>
                <w:b/>
                <w:sz w:val="20"/>
                <w:szCs w:val="20"/>
              </w:rPr>
              <w:t xml:space="preserve"> Möglichkeiten der Verfahrensbeendigung aufgrund gerichtlicher Entscheidung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D6959" w:rsidRDefault="004D6959" w:rsidP="004D69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5D438D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D438D" w:rsidRDefault="005D438D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Feinlernziel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D438D" w:rsidRPr="005D438D" w:rsidRDefault="005D438D" w:rsidP="00E03B34">
            <w:pPr>
              <w:spacing w:before="24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5D438D">
              <w:rPr>
                <w:rFonts w:ascii="Arial" w:hAnsi="Arial" w:cs="Arial"/>
                <w:sz w:val="20"/>
                <w:szCs w:val="20"/>
              </w:rPr>
              <w:t>Die Lernenden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B34">
              <w:rPr>
                <w:rFonts w:ascii="Arial" w:hAnsi="Arial" w:cs="Arial"/>
                <w:sz w:val="20"/>
                <w:szCs w:val="20"/>
              </w:rPr>
              <w:t>begründen</w:t>
            </w:r>
            <w:r w:rsidR="006C1780">
              <w:rPr>
                <w:rFonts w:ascii="Arial" w:hAnsi="Arial" w:cs="Arial"/>
                <w:sz w:val="20"/>
                <w:szCs w:val="20"/>
              </w:rPr>
              <w:t xml:space="preserve"> die Verfahr</w:t>
            </w:r>
            <w:r>
              <w:rPr>
                <w:rFonts w:ascii="Arial" w:hAnsi="Arial" w:cs="Arial"/>
                <w:sz w:val="20"/>
                <w:szCs w:val="20"/>
              </w:rPr>
              <w:t>ensbeendigungen: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D438D" w:rsidRDefault="00E03B34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5D438D" w:rsidRDefault="005D438D" w:rsidP="004D695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5D438D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Eintragung nach</w:t>
            </w:r>
            <w:r w:rsidR="004D6959">
              <w:rPr>
                <w:rFonts w:ascii="Arial" w:hAnsi="Arial" w:cs="Arial"/>
                <w:sz w:val="20"/>
                <w:szCs w:val="20"/>
              </w:rPr>
              <w:t xml:space="preserve"> § 44 GBO,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4D6959" w:rsidRDefault="004D6959" w:rsidP="004D695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Zurückweisungsbeschluss, § 18 GBO</w:t>
            </w:r>
            <w:r w:rsidR="000747EE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  <w:p w:rsidR="004D695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  <w:p w:rsidR="004D6959" w:rsidRDefault="004D6959" w:rsidP="004D695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6015BD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Erlass einer Zwischenverfügung, </w:t>
            </w:r>
            <w:r w:rsidR="002845E4">
              <w:rPr>
                <w:rFonts w:ascii="Arial" w:hAnsi="Arial" w:cs="Arial"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sz w:val="20"/>
                <w:szCs w:val="20"/>
              </w:rPr>
              <w:t>18 GBO.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</w:tcPr>
          <w:p w:rsidR="004D695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 erläutern in welchen Fällen eine Zwischenverfügung mit Fristsetzung ergeht.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8541E5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tcBorders>
              <w:left w:val="single" w:sz="4" w:space="0" w:color="00000A"/>
              <w:bottom w:val="nil"/>
              <w:right w:val="single" w:sz="4" w:space="0" w:color="00000A"/>
            </w:tcBorders>
          </w:tcPr>
          <w:p w:rsidR="004D695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2845E4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845E4" w:rsidRDefault="002845E4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845E4" w:rsidRDefault="002845E4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Sie erläutern in welchen Fällen ein Zurückweisungsbeschluss ergeht. 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2845E4" w:rsidRDefault="008541E5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tcBorders>
              <w:left w:val="single" w:sz="4" w:space="0" w:color="00000A"/>
              <w:bottom w:val="nil"/>
              <w:right w:val="single" w:sz="4" w:space="0" w:color="00000A"/>
            </w:tcBorders>
          </w:tcPr>
          <w:p w:rsidR="002845E4" w:rsidRDefault="002845E4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Lernenden nennen die Form beider Entscheidungen.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06" w:type="dxa"/>
            <w:gridSpan w:val="2"/>
            <w:tcBorders>
              <w:left w:val="single" w:sz="4" w:space="0" w:color="00000A"/>
              <w:bottom w:val="nil"/>
              <w:right w:val="single" w:sz="4" w:space="0" w:color="00000A"/>
            </w:tcBorders>
          </w:tcPr>
          <w:p w:rsidR="004D695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BF671D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Die Anwärter*innen </w:t>
            </w:r>
            <w:r w:rsidR="00BF671D">
              <w:rPr>
                <w:rFonts w:ascii="Arial" w:hAnsi="Arial" w:cs="Arial"/>
                <w:sz w:val="20"/>
                <w:szCs w:val="20"/>
              </w:rPr>
              <w:t>beschreiben</w:t>
            </w:r>
            <w:r>
              <w:rPr>
                <w:rFonts w:ascii="Arial" w:hAnsi="Arial" w:cs="Arial"/>
                <w:sz w:val="20"/>
                <w:szCs w:val="20"/>
              </w:rPr>
              <w:t>, was nach einer Eintragung zu veranlassen ist: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BF671D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left w:val="single" w:sz="4" w:space="0" w:color="00000A"/>
              <w:bottom w:val="nil"/>
              <w:right w:val="single" w:sz="4" w:space="0" w:color="00000A"/>
            </w:tcBorders>
          </w:tcPr>
          <w:p w:rsidR="004D695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94698C" w:rsidTr="00040D70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Eintragungsmitteilungen,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vAlign w:val="center"/>
          </w:tcPr>
          <w:p w:rsidR="0094698C" w:rsidRDefault="0094698C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94698C" w:rsidTr="00040D70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Erteilung eines Briefes.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94698C" w:rsidRDefault="0094698C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94698C" w:rsidRDefault="0094698C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5C1A"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Groblernziel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C95862" w:rsidRDefault="004D6959" w:rsidP="004D6959">
            <w:pPr>
              <w:pStyle w:val="Listenabsatz1"/>
              <w:tabs>
                <w:tab w:val="left" w:pos="1233"/>
              </w:tabs>
              <w:spacing w:before="24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95862">
              <w:rPr>
                <w:rFonts w:ascii="Arial" w:hAnsi="Arial" w:cs="Arial"/>
                <w:b/>
                <w:sz w:val="20"/>
                <w:szCs w:val="20"/>
              </w:rPr>
              <w:t>5.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Verfahren auf Grundbucheinsicht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D6959" w:rsidRPr="00F33C7D" w:rsidRDefault="00841398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eastAsia="en-US"/>
              </w:rPr>
              <w:t>4</w:t>
            </w:r>
            <w:r w:rsidR="004D6959" w:rsidRPr="00F33C7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="004D6959" w:rsidRPr="00F33C7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DStd</w:t>
            </w:r>
            <w:proofErr w:type="spellEnd"/>
            <w:r w:rsidR="004D6959" w:rsidRPr="00F33C7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.</w:t>
            </w: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Richtlernziel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B57F50" w:rsidRDefault="004D6959" w:rsidP="004D6959">
            <w:pPr>
              <w:pStyle w:val="Listenabsatz1"/>
              <w:tabs>
                <w:tab w:val="left" w:pos="1233"/>
              </w:tabs>
              <w:spacing w:before="20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B57F50">
              <w:rPr>
                <w:rFonts w:ascii="Arial" w:hAnsi="Arial" w:cs="Arial"/>
                <w:b/>
                <w:sz w:val="20"/>
                <w:szCs w:val="20"/>
              </w:rPr>
              <w:t>5.1 Grundbuchgeschäfte nach § 12</w:t>
            </w:r>
            <w:r w:rsidR="00BC19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57F50">
              <w:rPr>
                <w:rFonts w:ascii="Arial" w:hAnsi="Arial" w:cs="Arial"/>
                <w:b/>
                <w:sz w:val="20"/>
                <w:szCs w:val="20"/>
              </w:rPr>
              <w:t xml:space="preserve">c GBO des </w:t>
            </w:r>
            <w:proofErr w:type="spellStart"/>
            <w:r w:rsidRPr="00B57F50">
              <w:rPr>
                <w:rFonts w:ascii="Arial" w:hAnsi="Arial" w:cs="Arial"/>
                <w:b/>
                <w:sz w:val="20"/>
                <w:szCs w:val="20"/>
              </w:rPr>
              <w:t>UdG</w:t>
            </w:r>
            <w:proofErr w:type="spellEnd"/>
            <w:r w:rsidRPr="00B57F50">
              <w:rPr>
                <w:rFonts w:ascii="Arial" w:hAnsi="Arial" w:cs="Arial"/>
                <w:b/>
                <w:sz w:val="20"/>
                <w:szCs w:val="20"/>
              </w:rPr>
              <w:t xml:space="preserve"> des mittleren Dienstes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before="200"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Feinlernziel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Anwärter*innen berichtigen Namen.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Die Lernenden tragen Fortführungsmitteilungen des Vermessungsamtes selbstständig in das Grundbuch.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Pr="00765D29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2B382C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B382C" w:rsidRDefault="002B382C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B382C" w:rsidRDefault="002B382C" w:rsidP="002B382C">
            <w:pPr>
              <w:rPr>
                <w:rFonts w:ascii="Arial" w:hAnsi="Arial" w:cs="Arial"/>
                <w:color w:val="1F497D"/>
                <w:sz w:val="20"/>
              </w:rPr>
            </w:pPr>
          </w:p>
          <w:p w:rsidR="002B382C" w:rsidRPr="002B382C" w:rsidRDefault="002B382C" w:rsidP="002B382C">
            <w:pPr>
              <w:rPr>
                <w:rFonts w:ascii="Arial" w:hAnsi="Arial" w:cs="Arial"/>
                <w:color w:val="1F497D"/>
                <w:sz w:val="20"/>
              </w:rPr>
            </w:pPr>
            <w:r w:rsidRPr="002B382C">
              <w:rPr>
                <w:rFonts w:ascii="Arial" w:hAnsi="Arial" w:cs="Arial"/>
                <w:color w:val="000000" w:themeColor="text1"/>
                <w:sz w:val="20"/>
              </w:rPr>
              <w:lastRenderedPageBreak/>
              <w:t>Die Lernenden tragen Insolvenzersuchen und Ersuchen vom Vollstreckungsgericht K+L selbständig ein.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B382C" w:rsidRDefault="002B382C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106" w:type="dxa"/>
            <w:gridSpan w:val="2"/>
            <w:tcBorders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2B382C" w:rsidRPr="00765D29" w:rsidRDefault="002B382C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Richtlernziel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8C5249" w:rsidRDefault="004D6959" w:rsidP="004D6959">
            <w:pPr>
              <w:pStyle w:val="Listenabsatz1"/>
              <w:tabs>
                <w:tab w:val="left" w:pos="1233"/>
              </w:tabs>
              <w:spacing w:before="24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5.2 Verfahren</w:t>
            </w:r>
            <w:r w:rsidRPr="008C52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auf</w:t>
            </w:r>
            <w:r w:rsidRPr="008C524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Grundbucheinsicht 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Feinlernziel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0944DC" w:rsidRDefault="004D6959" w:rsidP="00BC1922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944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Die Anwärter*innen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geben an, dass die Grundakte Teile enthält, welche dauerhaft aufzubewahren sind.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8541E5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E65DD8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5DD8">
              <w:rPr>
                <w:rFonts w:ascii="Arial" w:hAnsi="Arial" w:cs="Arial"/>
                <w:sz w:val="20"/>
                <w:szCs w:val="20"/>
              </w:rPr>
              <w:t>Sie wissen, wem sie Akteneinsicht zu gewähren haben</w:t>
            </w:r>
            <w:r w:rsidR="008541E5" w:rsidRPr="00E65DD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41E5" w:rsidRPr="00E65DD8" w:rsidRDefault="000316F8" w:rsidP="000316F8">
            <w:pPr>
              <w:pStyle w:val="Listenabsatz1"/>
              <w:numPr>
                <w:ilvl w:val="0"/>
                <w:numId w:val="2"/>
              </w:numPr>
              <w:tabs>
                <w:tab w:val="left" w:pos="1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DD8">
              <w:rPr>
                <w:rFonts w:ascii="Arial" w:hAnsi="Arial" w:cs="Arial"/>
                <w:sz w:val="20"/>
                <w:szCs w:val="20"/>
              </w:rPr>
              <w:t>Berechtigtes Interesse</w:t>
            </w:r>
          </w:p>
          <w:p w:rsidR="000316F8" w:rsidRPr="00E65DD8" w:rsidRDefault="000316F8" w:rsidP="000316F8">
            <w:pPr>
              <w:pStyle w:val="Listenabsatz1"/>
              <w:numPr>
                <w:ilvl w:val="0"/>
                <w:numId w:val="2"/>
              </w:numPr>
              <w:tabs>
                <w:tab w:val="left" w:pos="1233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5DD8">
              <w:rPr>
                <w:rFonts w:ascii="Arial" w:hAnsi="Arial" w:cs="Arial"/>
                <w:sz w:val="20"/>
                <w:szCs w:val="20"/>
              </w:rPr>
              <w:t>Ggf. Nachweise, inkl. Vollmachten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8541E5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E65DD8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0316F8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E65DD8" w:rsidRDefault="00C01830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5DD8">
              <w:rPr>
                <w:rFonts w:ascii="Arial" w:hAnsi="Arial" w:cs="Arial"/>
                <w:sz w:val="20"/>
                <w:szCs w:val="20"/>
              </w:rPr>
              <w:t xml:space="preserve">Sie beherrschen die </w:t>
            </w:r>
            <w:r w:rsidR="004D6959" w:rsidRPr="00E65DD8">
              <w:rPr>
                <w:rFonts w:ascii="Arial" w:hAnsi="Arial" w:cs="Arial"/>
                <w:sz w:val="20"/>
                <w:szCs w:val="20"/>
              </w:rPr>
              <w:t>Erteilung von Abschriften und Auskünften</w:t>
            </w:r>
            <w:r w:rsidRPr="00E65DD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C01830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E65DD8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5C1A">
              <w:rPr>
                <w:rStyle w:val="SchwacheHervorhebung1"/>
                <w:rFonts w:ascii="Arial" w:hAnsi="Arial" w:cs="Arial"/>
                <w:i w:val="0"/>
                <w:color w:val="00000A"/>
                <w:sz w:val="20"/>
                <w:szCs w:val="20"/>
              </w:rPr>
              <w:t>Groblernziel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E65DD8" w:rsidRDefault="004D6959" w:rsidP="004D6959">
            <w:pPr>
              <w:pStyle w:val="Listenabsatz1"/>
              <w:tabs>
                <w:tab w:val="left" w:pos="1233"/>
              </w:tabs>
              <w:spacing w:before="24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E65DD8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  <w:proofErr w:type="spellStart"/>
            <w:r w:rsidRPr="00E65DD8">
              <w:rPr>
                <w:rFonts w:ascii="Arial" w:hAnsi="Arial" w:cs="Arial"/>
                <w:b/>
                <w:sz w:val="20"/>
                <w:szCs w:val="20"/>
              </w:rPr>
              <w:t>SolumStar</w:t>
            </w:r>
            <w:proofErr w:type="spellEnd"/>
            <w:r w:rsidRPr="00E65DD8">
              <w:rPr>
                <w:rFonts w:ascii="Arial" w:hAnsi="Arial" w:cs="Arial"/>
                <w:b/>
                <w:sz w:val="20"/>
                <w:szCs w:val="20"/>
              </w:rPr>
              <w:t xml:space="preserve"> mit Liste 10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D6959" w:rsidRDefault="00841398" w:rsidP="004D695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eastAsia="en-US"/>
              </w:rPr>
              <w:t>4</w:t>
            </w:r>
            <w:r w:rsidR="004D6959" w:rsidRPr="00F33C7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="004D6959" w:rsidRPr="00F33C7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DStd</w:t>
            </w:r>
            <w:proofErr w:type="spellEnd"/>
            <w:r w:rsidR="004D6959" w:rsidRPr="00F33C7D">
              <w:rPr>
                <w:rFonts w:ascii="Arial" w:hAnsi="Arial" w:cs="Arial"/>
                <w:b/>
                <w:sz w:val="20"/>
                <w:szCs w:val="18"/>
                <w:lang w:eastAsia="en-US"/>
              </w:rPr>
              <w:t>.</w:t>
            </w: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Feinlernziel</w:t>
            </w: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E65DD8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5DD8">
              <w:rPr>
                <w:rFonts w:ascii="Arial" w:hAnsi="Arial" w:cs="Arial"/>
                <w:sz w:val="20"/>
                <w:szCs w:val="20"/>
              </w:rPr>
              <w:t>Die Anwärter*innen erhalten eine Einführung in die maschinelle Grundbuchführung.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rPr>
          <w:trHeight w:val="655"/>
        </w:trPr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4D6959" w:rsidRPr="00E65DD8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5DD8">
              <w:rPr>
                <w:rFonts w:ascii="Arial" w:hAnsi="Arial" w:cs="Arial"/>
                <w:sz w:val="20"/>
                <w:szCs w:val="20"/>
              </w:rPr>
              <w:t>Sie melden sich an und bedienen das Hauptmenü.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rPr>
          <w:trHeight w:val="690"/>
        </w:trPr>
        <w:tc>
          <w:tcPr>
            <w:tcW w:w="168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</w:tcPr>
          <w:p w:rsidR="004D6959" w:rsidRPr="00E65DD8" w:rsidRDefault="00BE0B76" w:rsidP="000316F8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5DD8">
              <w:rPr>
                <w:rFonts w:ascii="Arial" w:hAnsi="Arial" w:cs="Arial"/>
                <w:sz w:val="20"/>
                <w:szCs w:val="20"/>
              </w:rPr>
              <w:t xml:space="preserve">Sie beherrschen </w:t>
            </w:r>
            <w:r w:rsidR="000316F8" w:rsidRPr="00E65DD8">
              <w:rPr>
                <w:rFonts w:ascii="Arial" w:hAnsi="Arial" w:cs="Arial"/>
                <w:sz w:val="20"/>
                <w:szCs w:val="20"/>
              </w:rPr>
              <w:t>das Erzeugen von Fällen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rPr>
          <w:trHeight w:val="655"/>
        </w:trPr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Sie nehmen Eintragungen im elektronischen Grundbuch vor.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/>
            <w:tcBorders>
              <w:top w:val="nil"/>
              <w:left w:val="single" w:sz="4" w:space="0" w:color="00000A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Listenabsatz1"/>
              <w:tabs>
                <w:tab w:val="left" w:pos="1233"/>
              </w:tabs>
              <w:spacing w:before="240" w:after="0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Die Lernenden erstellen Eintragungsmitteilungen.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06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D6959" w:rsidRDefault="004D6959" w:rsidP="004D6959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4D6959" w:rsidTr="00460D3B">
        <w:tc>
          <w:tcPr>
            <w:tcW w:w="16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napToGrid w:val="0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Pr="002D63CC" w:rsidRDefault="004D6959" w:rsidP="004D6959">
            <w:pPr>
              <w:pStyle w:val="Listenabsatz1"/>
              <w:tabs>
                <w:tab w:val="left" w:pos="1233"/>
              </w:tabs>
              <w:spacing w:before="240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D63C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Klausur</w:t>
            </w: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4D6959" w:rsidRDefault="004D6959" w:rsidP="004D6959">
            <w:pPr>
              <w:pStyle w:val="berschrift2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4D6959" w:rsidRPr="002D63CC" w:rsidRDefault="004D6959" w:rsidP="004D6959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DStd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.</w:t>
            </w:r>
          </w:p>
        </w:tc>
      </w:tr>
    </w:tbl>
    <w:p w:rsidR="00765D29" w:rsidRDefault="00765D29"/>
    <w:sectPr w:rsidR="00765D29" w:rsidSect="00914913">
      <w:footerReference w:type="defaul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67A" w:rsidRDefault="00AD567A" w:rsidP="00914913">
      <w:r>
        <w:separator/>
      </w:r>
    </w:p>
  </w:endnote>
  <w:endnote w:type="continuationSeparator" w:id="0">
    <w:p w:rsidR="00AD567A" w:rsidRDefault="00AD567A" w:rsidP="0091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6279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14913" w:rsidRPr="00914913" w:rsidRDefault="00914913">
        <w:pPr>
          <w:pStyle w:val="Fuzeile"/>
          <w:jc w:val="right"/>
          <w:rPr>
            <w:rFonts w:ascii="Arial" w:hAnsi="Arial" w:cs="Arial"/>
            <w:sz w:val="20"/>
          </w:rPr>
        </w:pPr>
        <w:r w:rsidRPr="00914913">
          <w:rPr>
            <w:rFonts w:ascii="Arial" w:hAnsi="Arial" w:cs="Arial"/>
            <w:sz w:val="20"/>
          </w:rPr>
          <w:fldChar w:fldCharType="begin"/>
        </w:r>
        <w:r w:rsidRPr="00914913">
          <w:rPr>
            <w:rFonts w:ascii="Arial" w:hAnsi="Arial" w:cs="Arial"/>
            <w:sz w:val="20"/>
          </w:rPr>
          <w:instrText>PAGE   \* MERGEFORMAT</w:instrText>
        </w:r>
        <w:r w:rsidRPr="00914913">
          <w:rPr>
            <w:rFonts w:ascii="Arial" w:hAnsi="Arial" w:cs="Arial"/>
            <w:sz w:val="20"/>
          </w:rPr>
          <w:fldChar w:fldCharType="separate"/>
        </w:r>
        <w:r w:rsidR="00CE5DC6">
          <w:rPr>
            <w:rFonts w:ascii="Arial" w:hAnsi="Arial" w:cs="Arial"/>
            <w:noProof/>
            <w:sz w:val="20"/>
          </w:rPr>
          <w:t>4</w:t>
        </w:r>
        <w:r w:rsidRPr="00914913">
          <w:rPr>
            <w:rFonts w:ascii="Arial" w:hAnsi="Arial" w:cs="Arial"/>
            <w:sz w:val="20"/>
          </w:rPr>
          <w:fldChar w:fldCharType="end"/>
        </w:r>
      </w:p>
    </w:sdtContent>
  </w:sdt>
  <w:p w:rsidR="00914913" w:rsidRDefault="009149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67A" w:rsidRDefault="00AD567A" w:rsidP="00914913">
      <w:r>
        <w:separator/>
      </w:r>
    </w:p>
  </w:footnote>
  <w:footnote w:type="continuationSeparator" w:id="0">
    <w:p w:rsidR="00AD567A" w:rsidRDefault="00AD567A" w:rsidP="0091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784B76"/>
    <w:multiLevelType w:val="hybridMultilevel"/>
    <w:tmpl w:val="57DABA7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17AD2"/>
    <w:multiLevelType w:val="hybridMultilevel"/>
    <w:tmpl w:val="22A44614"/>
    <w:lvl w:ilvl="0" w:tplc="A68A9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EB"/>
    <w:rsid w:val="000316F8"/>
    <w:rsid w:val="00035F34"/>
    <w:rsid w:val="00043D72"/>
    <w:rsid w:val="000747EE"/>
    <w:rsid w:val="000944DC"/>
    <w:rsid w:val="000B0A47"/>
    <w:rsid w:val="000C4F7F"/>
    <w:rsid w:val="000E6DA1"/>
    <w:rsid w:val="001060AA"/>
    <w:rsid w:val="00114373"/>
    <w:rsid w:val="00124FE7"/>
    <w:rsid w:val="0014423A"/>
    <w:rsid w:val="001679B8"/>
    <w:rsid w:val="001921A1"/>
    <w:rsid w:val="001D131A"/>
    <w:rsid w:val="001D7D14"/>
    <w:rsid w:val="001F39CE"/>
    <w:rsid w:val="00232DB8"/>
    <w:rsid w:val="00246721"/>
    <w:rsid w:val="00271B3F"/>
    <w:rsid w:val="00273E9F"/>
    <w:rsid w:val="002845E4"/>
    <w:rsid w:val="002B382C"/>
    <w:rsid w:val="002D63CC"/>
    <w:rsid w:val="002E4F80"/>
    <w:rsid w:val="00314E45"/>
    <w:rsid w:val="00332CDC"/>
    <w:rsid w:val="00361465"/>
    <w:rsid w:val="003703D1"/>
    <w:rsid w:val="00396261"/>
    <w:rsid w:val="003A694E"/>
    <w:rsid w:val="003C1B23"/>
    <w:rsid w:val="00441F43"/>
    <w:rsid w:val="00460D3B"/>
    <w:rsid w:val="004C6089"/>
    <w:rsid w:val="004D6959"/>
    <w:rsid w:val="004E3772"/>
    <w:rsid w:val="004F0DEA"/>
    <w:rsid w:val="004F10A1"/>
    <w:rsid w:val="004F2372"/>
    <w:rsid w:val="0050399B"/>
    <w:rsid w:val="00534A47"/>
    <w:rsid w:val="005A6170"/>
    <w:rsid w:val="005B6E35"/>
    <w:rsid w:val="005D3B38"/>
    <w:rsid w:val="005D438D"/>
    <w:rsid w:val="006015BD"/>
    <w:rsid w:val="00610832"/>
    <w:rsid w:val="0062212C"/>
    <w:rsid w:val="00635C41"/>
    <w:rsid w:val="0064417F"/>
    <w:rsid w:val="00646484"/>
    <w:rsid w:val="00653E97"/>
    <w:rsid w:val="006719D6"/>
    <w:rsid w:val="00674277"/>
    <w:rsid w:val="00695B9C"/>
    <w:rsid w:val="006B5C1A"/>
    <w:rsid w:val="006C1780"/>
    <w:rsid w:val="006C71A5"/>
    <w:rsid w:val="006C7849"/>
    <w:rsid w:val="00703AE1"/>
    <w:rsid w:val="00731B30"/>
    <w:rsid w:val="00765D29"/>
    <w:rsid w:val="00797A68"/>
    <w:rsid w:val="007A325A"/>
    <w:rsid w:val="007E6275"/>
    <w:rsid w:val="007F025F"/>
    <w:rsid w:val="00841398"/>
    <w:rsid w:val="008541E5"/>
    <w:rsid w:val="008A7212"/>
    <w:rsid w:val="008C5249"/>
    <w:rsid w:val="00914913"/>
    <w:rsid w:val="0094698C"/>
    <w:rsid w:val="00977646"/>
    <w:rsid w:val="00977959"/>
    <w:rsid w:val="009A386A"/>
    <w:rsid w:val="009B79D9"/>
    <w:rsid w:val="009D3081"/>
    <w:rsid w:val="009E0771"/>
    <w:rsid w:val="009E1336"/>
    <w:rsid w:val="00A158CA"/>
    <w:rsid w:val="00A71D9B"/>
    <w:rsid w:val="00A91D68"/>
    <w:rsid w:val="00A92EF0"/>
    <w:rsid w:val="00AA5A00"/>
    <w:rsid w:val="00AD51BF"/>
    <w:rsid w:val="00AD567A"/>
    <w:rsid w:val="00AE6EC1"/>
    <w:rsid w:val="00B057D8"/>
    <w:rsid w:val="00B16D98"/>
    <w:rsid w:val="00B31899"/>
    <w:rsid w:val="00B57F50"/>
    <w:rsid w:val="00B73A58"/>
    <w:rsid w:val="00B97778"/>
    <w:rsid w:val="00BA4F6D"/>
    <w:rsid w:val="00BB6CED"/>
    <w:rsid w:val="00BC1922"/>
    <w:rsid w:val="00BE0B76"/>
    <w:rsid w:val="00BE1E28"/>
    <w:rsid w:val="00BF671D"/>
    <w:rsid w:val="00C00BDD"/>
    <w:rsid w:val="00C01830"/>
    <w:rsid w:val="00C22083"/>
    <w:rsid w:val="00C54C39"/>
    <w:rsid w:val="00C95862"/>
    <w:rsid w:val="00CC6733"/>
    <w:rsid w:val="00CE5DC6"/>
    <w:rsid w:val="00CE6D04"/>
    <w:rsid w:val="00D03FA8"/>
    <w:rsid w:val="00D1063A"/>
    <w:rsid w:val="00D24562"/>
    <w:rsid w:val="00D25D8F"/>
    <w:rsid w:val="00D34465"/>
    <w:rsid w:val="00D35CC7"/>
    <w:rsid w:val="00D91BEB"/>
    <w:rsid w:val="00DB6655"/>
    <w:rsid w:val="00DE592C"/>
    <w:rsid w:val="00E03B34"/>
    <w:rsid w:val="00E21841"/>
    <w:rsid w:val="00E21A25"/>
    <w:rsid w:val="00E22B3D"/>
    <w:rsid w:val="00E344D8"/>
    <w:rsid w:val="00E34930"/>
    <w:rsid w:val="00E53809"/>
    <w:rsid w:val="00E60123"/>
    <w:rsid w:val="00E61724"/>
    <w:rsid w:val="00E65CBD"/>
    <w:rsid w:val="00E65DD8"/>
    <w:rsid w:val="00E90EB5"/>
    <w:rsid w:val="00EA649C"/>
    <w:rsid w:val="00EB68A6"/>
    <w:rsid w:val="00ED53D8"/>
    <w:rsid w:val="00EE05FD"/>
    <w:rsid w:val="00EE2353"/>
    <w:rsid w:val="00F04656"/>
    <w:rsid w:val="00F33C7D"/>
    <w:rsid w:val="00F410B2"/>
    <w:rsid w:val="00F651D3"/>
    <w:rsid w:val="00F66BDB"/>
    <w:rsid w:val="00F93193"/>
    <w:rsid w:val="00FA1822"/>
    <w:rsid w:val="00FB2FBC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BFAB9-A60D-42E6-B9A2-AD5B6781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1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91BEB"/>
    <w:pPr>
      <w:keepNext/>
      <w:keepLines/>
      <w:numPr>
        <w:ilvl w:val="1"/>
        <w:numId w:val="1"/>
      </w:numPr>
      <w:suppressAutoHyphens/>
      <w:spacing w:before="200"/>
      <w:outlineLvl w:val="1"/>
    </w:pPr>
    <w:rPr>
      <w:rFonts w:ascii="Cambria" w:hAnsi="Cambria"/>
      <w:b/>
      <w:bCs/>
      <w:color w:val="4F81BD"/>
      <w:kern w:val="2"/>
      <w:sz w:val="26"/>
      <w:szCs w:val="26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91BEB"/>
    <w:rPr>
      <w:rFonts w:ascii="Cambria" w:eastAsia="Times New Roman" w:hAnsi="Cambria" w:cs="Times New Roman"/>
      <w:b/>
      <w:bCs/>
      <w:color w:val="4F81BD"/>
      <w:kern w:val="2"/>
      <w:sz w:val="26"/>
      <w:szCs w:val="26"/>
      <w:lang w:eastAsia="zh-CN"/>
    </w:rPr>
  </w:style>
  <w:style w:type="paragraph" w:customStyle="1" w:styleId="Listenabsatz1">
    <w:name w:val="Listenabsatz1"/>
    <w:basedOn w:val="Standard"/>
    <w:rsid w:val="00D91B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chwacheHervorhebung1">
    <w:name w:val="Schwache Hervorhebung1"/>
    <w:rsid w:val="00D91BEB"/>
    <w:rPr>
      <w:i/>
      <w:iCs/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149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491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9149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14913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D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D98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031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Kammergericht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Micheel, Marie Mandy</dc:creator>
  <cp:lastModifiedBy>Schmidt, Ruby</cp:lastModifiedBy>
  <cp:revision>4</cp:revision>
  <cp:lastPrinted>2021-06-23T04:54:00Z</cp:lastPrinted>
  <dcterms:created xsi:type="dcterms:W3CDTF">2023-03-13T07:29:00Z</dcterms:created>
  <dcterms:modified xsi:type="dcterms:W3CDTF">2024-01-30T13:47:00Z</dcterms:modified>
</cp:coreProperties>
</file>