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D37" w:rsidRPr="00D31784" w:rsidRDefault="00D31784">
      <w:pPr>
        <w:rPr>
          <w:rFonts w:ascii="Arial" w:hAnsi="Arial" w:cs="Arial"/>
          <w:b/>
          <w:sz w:val="28"/>
          <w:szCs w:val="28"/>
        </w:rPr>
      </w:pPr>
      <w:r w:rsidRPr="00D31784">
        <w:rPr>
          <w:rFonts w:ascii="Arial" w:hAnsi="Arial" w:cs="Arial"/>
          <w:b/>
          <w:sz w:val="28"/>
          <w:szCs w:val="28"/>
        </w:rPr>
        <w:t xml:space="preserve">Lösung Fall 4 – Charlotte </w:t>
      </w:r>
      <w:proofErr w:type="spellStart"/>
      <w:r w:rsidRPr="00D31784">
        <w:rPr>
          <w:rFonts w:ascii="Arial" w:hAnsi="Arial" w:cs="Arial"/>
          <w:b/>
          <w:sz w:val="28"/>
          <w:szCs w:val="28"/>
        </w:rPr>
        <w:t>Baschin</w:t>
      </w:r>
      <w:proofErr w:type="spellEnd"/>
    </w:p>
    <w:p w:rsidR="00D31784" w:rsidRDefault="00D31784">
      <w:pPr>
        <w:rPr>
          <w:b/>
          <w:sz w:val="28"/>
          <w:szCs w:val="28"/>
        </w:rPr>
      </w:pPr>
    </w:p>
    <w:p w:rsidR="00D31784" w:rsidRDefault="00D31784">
      <w:pPr>
        <w:rPr>
          <w:rFonts w:ascii="Arial" w:hAnsi="Arial" w:cs="Arial"/>
          <w:sz w:val="24"/>
          <w:szCs w:val="24"/>
        </w:rPr>
      </w:pPr>
      <w:r>
        <w:rPr>
          <w:b/>
          <w:sz w:val="28"/>
          <w:szCs w:val="28"/>
        </w:rPr>
        <w:t>1</w:t>
      </w:r>
      <w:r w:rsidRPr="00D31784">
        <w:rPr>
          <w:rFonts w:ascii="Arial" w:hAnsi="Arial" w:cs="Arial"/>
          <w:b/>
          <w:sz w:val="24"/>
          <w:szCs w:val="24"/>
        </w:rPr>
        <w:t xml:space="preserve">. </w:t>
      </w:r>
      <w:r w:rsidRPr="00D31784">
        <w:rPr>
          <w:rFonts w:ascii="Arial" w:hAnsi="Arial" w:cs="Arial"/>
          <w:sz w:val="24"/>
          <w:szCs w:val="24"/>
        </w:rPr>
        <w:t xml:space="preserve">Vor einer endgültigen Entscheidung muss der Betreuungsrichter gem. § 278 Abs. 1 S. 1 </w:t>
      </w:r>
      <w:proofErr w:type="spellStart"/>
      <w:r w:rsidRPr="00D31784">
        <w:rPr>
          <w:rFonts w:ascii="Arial" w:hAnsi="Arial" w:cs="Arial"/>
          <w:sz w:val="24"/>
          <w:szCs w:val="24"/>
        </w:rPr>
        <w:t>FamFG</w:t>
      </w:r>
      <w:proofErr w:type="spellEnd"/>
      <w:r w:rsidRPr="00D31784">
        <w:rPr>
          <w:rFonts w:ascii="Arial" w:hAnsi="Arial" w:cs="Arial"/>
          <w:sz w:val="24"/>
          <w:szCs w:val="24"/>
        </w:rPr>
        <w:t xml:space="preserve"> Frau </w:t>
      </w:r>
      <w:proofErr w:type="spellStart"/>
      <w:r w:rsidRPr="00D31784">
        <w:rPr>
          <w:rFonts w:ascii="Arial" w:hAnsi="Arial" w:cs="Arial"/>
          <w:sz w:val="24"/>
          <w:szCs w:val="24"/>
        </w:rPr>
        <w:t>Baschin</w:t>
      </w:r>
      <w:proofErr w:type="spellEnd"/>
      <w:r w:rsidRPr="00D31784">
        <w:rPr>
          <w:rFonts w:ascii="Arial" w:hAnsi="Arial" w:cs="Arial"/>
          <w:sz w:val="24"/>
          <w:szCs w:val="24"/>
        </w:rPr>
        <w:t xml:space="preserve"> anhören</w:t>
      </w:r>
      <w:r>
        <w:rPr>
          <w:rFonts w:ascii="Arial" w:hAnsi="Arial" w:cs="Arial"/>
          <w:sz w:val="24"/>
          <w:szCs w:val="24"/>
        </w:rPr>
        <w:t xml:space="preserve"> und sich einen unmittelbaren Eindruck von ihr verschaffen. Dies scheitert jedoch momentan an ihrem Widerstand.</w:t>
      </w:r>
    </w:p>
    <w:p w:rsidR="00D31784" w:rsidRDefault="00D31784">
      <w:pPr>
        <w:rPr>
          <w:rFonts w:ascii="Arial" w:hAnsi="Arial" w:cs="Arial"/>
          <w:sz w:val="24"/>
          <w:szCs w:val="24"/>
        </w:rPr>
      </w:pPr>
      <w:r>
        <w:rPr>
          <w:rFonts w:ascii="Arial" w:hAnsi="Arial" w:cs="Arial"/>
          <w:sz w:val="24"/>
          <w:szCs w:val="24"/>
        </w:rPr>
        <w:t xml:space="preserve">Außerdem muss das Gericht gem. § 280 Abs. 1 </w:t>
      </w:r>
      <w:proofErr w:type="spellStart"/>
      <w:r>
        <w:rPr>
          <w:rFonts w:ascii="Arial" w:hAnsi="Arial" w:cs="Arial"/>
          <w:sz w:val="24"/>
          <w:szCs w:val="24"/>
        </w:rPr>
        <w:t>FamFG</w:t>
      </w:r>
      <w:proofErr w:type="spellEnd"/>
      <w:r>
        <w:rPr>
          <w:rFonts w:ascii="Arial" w:hAnsi="Arial" w:cs="Arial"/>
          <w:sz w:val="24"/>
          <w:szCs w:val="24"/>
        </w:rPr>
        <w:t xml:space="preserve"> vor der Betreuerbestellung ein Gutachten einholen. Der Gutachter muss nach § 280 Abs. 2 S. 1 </w:t>
      </w:r>
      <w:proofErr w:type="spellStart"/>
      <w:r>
        <w:rPr>
          <w:rFonts w:ascii="Arial" w:hAnsi="Arial" w:cs="Arial"/>
          <w:sz w:val="24"/>
          <w:szCs w:val="24"/>
        </w:rPr>
        <w:t>FamFG</w:t>
      </w:r>
      <w:proofErr w:type="spellEnd"/>
      <w:r>
        <w:rPr>
          <w:rFonts w:ascii="Arial" w:hAnsi="Arial" w:cs="Arial"/>
          <w:sz w:val="24"/>
          <w:szCs w:val="24"/>
        </w:rPr>
        <w:t xml:space="preserve"> Frau </w:t>
      </w:r>
      <w:proofErr w:type="spellStart"/>
      <w:r>
        <w:rPr>
          <w:rFonts w:ascii="Arial" w:hAnsi="Arial" w:cs="Arial"/>
          <w:sz w:val="24"/>
          <w:szCs w:val="24"/>
        </w:rPr>
        <w:t>Baschin</w:t>
      </w:r>
      <w:proofErr w:type="spellEnd"/>
      <w:r>
        <w:rPr>
          <w:rFonts w:ascii="Arial" w:hAnsi="Arial" w:cs="Arial"/>
          <w:sz w:val="24"/>
          <w:szCs w:val="24"/>
        </w:rPr>
        <w:t xml:space="preserve"> persönlich untersuchen. Auch dies scheitert im Moment an ihrer Verweigerungshaltung.</w:t>
      </w:r>
    </w:p>
    <w:p w:rsidR="00D31784" w:rsidRDefault="00D31784">
      <w:pPr>
        <w:rPr>
          <w:rFonts w:ascii="Arial" w:hAnsi="Arial" w:cs="Arial"/>
          <w:sz w:val="24"/>
          <w:szCs w:val="24"/>
        </w:rPr>
      </w:pPr>
    </w:p>
    <w:p w:rsidR="00D31784" w:rsidRDefault="00D31784">
      <w:pPr>
        <w:rPr>
          <w:rFonts w:ascii="Arial" w:hAnsi="Arial" w:cs="Arial"/>
          <w:sz w:val="24"/>
          <w:szCs w:val="24"/>
        </w:rPr>
      </w:pPr>
      <w:r w:rsidRPr="00D31784">
        <w:rPr>
          <w:rFonts w:ascii="Arial" w:hAnsi="Arial" w:cs="Arial"/>
          <w:b/>
          <w:sz w:val="28"/>
          <w:szCs w:val="28"/>
        </w:rPr>
        <w:t>2.</w:t>
      </w:r>
      <w:r>
        <w:rPr>
          <w:rFonts w:ascii="Arial" w:hAnsi="Arial" w:cs="Arial"/>
          <w:sz w:val="24"/>
          <w:szCs w:val="24"/>
        </w:rPr>
        <w:t xml:space="preserve"> Sollte Frau </w:t>
      </w:r>
      <w:proofErr w:type="spellStart"/>
      <w:r>
        <w:rPr>
          <w:rFonts w:ascii="Arial" w:hAnsi="Arial" w:cs="Arial"/>
          <w:sz w:val="24"/>
          <w:szCs w:val="24"/>
        </w:rPr>
        <w:t>Baschin</w:t>
      </w:r>
      <w:proofErr w:type="spellEnd"/>
      <w:r>
        <w:rPr>
          <w:rFonts w:ascii="Arial" w:hAnsi="Arial" w:cs="Arial"/>
          <w:sz w:val="24"/>
          <w:szCs w:val="24"/>
        </w:rPr>
        <w:t xml:space="preserve"> bei ihrer Haltung bleiben, muss das Gericht ihre zwangsweise Vorführung sowohl vor das Gericht (§ 278 Abs. 5 </w:t>
      </w:r>
      <w:proofErr w:type="spellStart"/>
      <w:r>
        <w:rPr>
          <w:rFonts w:ascii="Arial" w:hAnsi="Arial" w:cs="Arial"/>
          <w:sz w:val="24"/>
          <w:szCs w:val="24"/>
        </w:rPr>
        <w:t>FamFG</w:t>
      </w:r>
      <w:proofErr w:type="spellEnd"/>
      <w:r>
        <w:rPr>
          <w:rFonts w:ascii="Arial" w:hAnsi="Arial" w:cs="Arial"/>
          <w:sz w:val="24"/>
          <w:szCs w:val="24"/>
        </w:rPr>
        <w:t xml:space="preserve">) als auch vor den Gutachter (§ 283 </w:t>
      </w:r>
      <w:proofErr w:type="spellStart"/>
      <w:r>
        <w:rPr>
          <w:rFonts w:ascii="Arial" w:hAnsi="Arial" w:cs="Arial"/>
          <w:sz w:val="24"/>
          <w:szCs w:val="24"/>
        </w:rPr>
        <w:t>FamFG</w:t>
      </w:r>
      <w:proofErr w:type="spellEnd"/>
      <w:r>
        <w:rPr>
          <w:rFonts w:ascii="Arial" w:hAnsi="Arial" w:cs="Arial"/>
          <w:sz w:val="24"/>
          <w:szCs w:val="24"/>
        </w:rPr>
        <w:t xml:space="preserve">) anordnen. Letztes ist entbehrlich, wenn Frau </w:t>
      </w:r>
      <w:proofErr w:type="spellStart"/>
      <w:r>
        <w:rPr>
          <w:rFonts w:ascii="Arial" w:hAnsi="Arial" w:cs="Arial"/>
          <w:sz w:val="24"/>
          <w:szCs w:val="24"/>
        </w:rPr>
        <w:t>Baschin</w:t>
      </w:r>
      <w:proofErr w:type="spellEnd"/>
      <w:r>
        <w:rPr>
          <w:rFonts w:ascii="Arial" w:hAnsi="Arial" w:cs="Arial"/>
          <w:sz w:val="24"/>
          <w:szCs w:val="24"/>
        </w:rPr>
        <w:t xml:space="preserve"> die Betreuerbestellung selbst beantragt und auf das Gutachten verzichtet (§ 281 Abs. 1 r. 1 </w:t>
      </w:r>
      <w:proofErr w:type="spellStart"/>
      <w:r>
        <w:rPr>
          <w:rFonts w:ascii="Arial" w:hAnsi="Arial" w:cs="Arial"/>
          <w:sz w:val="24"/>
          <w:szCs w:val="24"/>
        </w:rPr>
        <w:t>FamFG</w:t>
      </w:r>
      <w:proofErr w:type="spellEnd"/>
      <w:r>
        <w:rPr>
          <w:rFonts w:ascii="Arial" w:hAnsi="Arial" w:cs="Arial"/>
          <w:sz w:val="24"/>
          <w:szCs w:val="24"/>
        </w:rPr>
        <w:t xml:space="preserve">). Die Vorführung vor das Gericht kann ausnahmsweise unterbleiben, wenn dies unverhältnismäßig wäre. Hier könnte das Gericht gem. § 34 Abs. 3 </w:t>
      </w:r>
      <w:proofErr w:type="spellStart"/>
      <w:r>
        <w:rPr>
          <w:rFonts w:ascii="Arial" w:hAnsi="Arial" w:cs="Arial"/>
          <w:sz w:val="24"/>
          <w:szCs w:val="24"/>
        </w:rPr>
        <w:t>FamFG</w:t>
      </w:r>
      <w:proofErr w:type="spellEnd"/>
      <w:r>
        <w:rPr>
          <w:rFonts w:ascii="Arial" w:hAnsi="Arial" w:cs="Arial"/>
          <w:sz w:val="24"/>
          <w:szCs w:val="24"/>
        </w:rPr>
        <w:t xml:space="preserve"> auch ohne persönliche Abhörung entscheiden, wenn es den Betroffenen hierauf hingewiesen hat. Dafür, dass das hier der Fall sein könnte, fehlen jedoch die Anhaltspunkte.</w:t>
      </w:r>
    </w:p>
    <w:p w:rsidR="00D31784" w:rsidRDefault="00D31784">
      <w:pPr>
        <w:rPr>
          <w:rFonts w:ascii="Arial" w:hAnsi="Arial" w:cs="Arial"/>
          <w:sz w:val="24"/>
          <w:szCs w:val="24"/>
        </w:rPr>
      </w:pPr>
    </w:p>
    <w:p w:rsidR="00D31784" w:rsidRDefault="00D31784">
      <w:pPr>
        <w:rPr>
          <w:rFonts w:ascii="Arial" w:hAnsi="Arial" w:cs="Arial"/>
          <w:sz w:val="24"/>
          <w:szCs w:val="24"/>
        </w:rPr>
      </w:pPr>
      <w:r w:rsidRPr="00EB5AD2">
        <w:rPr>
          <w:rFonts w:ascii="Arial" w:hAnsi="Arial" w:cs="Arial"/>
          <w:b/>
          <w:sz w:val="28"/>
          <w:szCs w:val="28"/>
        </w:rPr>
        <w:t>3.</w:t>
      </w:r>
      <w:r>
        <w:rPr>
          <w:rFonts w:ascii="Arial" w:hAnsi="Arial" w:cs="Arial"/>
          <w:sz w:val="24"/>
          <w:szCs w:val="24"/>
        </w:rPr>
        <w:t xml:space="preserve"> Die Bestellung eines Betreuers durch einstweilige Anordnung ist gem. § 302 Satz 1 </w:t>
      </w:r>
      <w:proofErr w:type="spellStart"/>
      <w:r>
        <w:rPr>
          <w:rFonts w:ascii="Arial" w:hAnsi="Arial" w:cs="Arial"/>
          <w:sz w:val="24"/>
          <w:szCs w:val="24"/>
        </w:rPr>
        <w:t>FamFG</w:t>
      </w:r>
      <w:proofErr w:type="spellEnd"/>
      <w:r>
        <w:rPr>
          <w:rFonts w:ascii="Arial" w:hAnsi="Arial" w:cs="Arial"/>
          <w:sz w:val="24"/>
          <w:szCs w:val="24"/>
        </w:rPr>
        <w:t xml:space="preserve"> zunächst für höchstens 6 Monate möglich. Nach Anhörung eines Gutachters kann sie durch eine weitere einstweilige Anordnung auf bis </w:t>
      </w:r>
      <w:r w:rsidR="00EB5AD2">
        <w:rPr>
          <w:rFonts w:ascii="Arial" w:hAnsi="Arial" w:cs="Arial"/>
          <w:sz w:val="24"/>
          <w:szCs w:val="24"/>
        </w:rPr>
        <w:t>zu ein Jahr verlängert werden (</w:t>
      </w:r>
      <w:r>
        <w:rPr>
          <w:rFonts w:ascii="Arial" w:hAnsi="Arial" w:cs="Arial"/>
          <w:sz w:val="24"/>
          <w:szCs w:val="24"/>
        </w:rPr>
        <w:t xml:space="preserve">§ 302 Satz 2 </w:t>
      </w:r>
      <w:proofErr w:type="spellStart"/>
      <w:r>
        <w:rPr>
          <w:rFonts w:ascii="Arial" w:hAnsi="Arial" w:cs="Arial"/>
          <w:sz w:val="24"/>
          <w:szCs w:val="24"/>
        </w:rPr>
        <w:t>FaFG</w:t>
      </w:r>
      <w:proofErr w:type="spellEnd"/>
      <w:r>
        <w:rPr>
          <w:rFonts w:ascii="Arial" w:hAnsi="Arial" w:cs="Arial"/>
          <w:sz w:val="24"/>
          <w:szCs w:val="24"/>
        </w:rPr>
        <w:t>)</w:t>
      </w:r>
      <w:r w:rsidR="00EB5AD2">
        <w:rPr>
          <w:rFonts w:ascii="Arial" w:hAnsi="Arial" w:cs="Arial"/>
          <w:sz w:val="24"/>
          <w:szCs w:val="24"/>
        </w:rPr>
        <w:t>.</w:t>
      </w:r>
    </w:p>
    <w:p w:rsidR="00EB5AD2" w:rsidRDefault="00EB5AD2">
      <w:pPr>
        <w:rPr>
          <w:rFonts w:ascii="Arial" w:hAnsi="Arial" w:cs="Arial"/>
          <w:sz w:val="24"/>
          <w:szCs w:val="24"/>
        </w:rPr>
      </w:pPr>
    </w:p>
    <w:p w:rsidR="00EB5AD2" w:rsidRDefault="00EB5AD2">
      <w:pPr>
        <w:rPr>
          <w:rFonts w:ascii="Arial" w:hAnsi="Arial" w:cs="Arial"/>
          <w:sz w:val="24"/>
          <w:szCs w:val="24"/>
        </w:rPr>
      </w:pPr>
      <w:r>
        <w:rPr>
          <w:rFonts w:ascii="Arial" w:hAnsi="Arial" w:cs="Arial"/>
          <w:sz w:val="24"/>
          <w:szCs w:val="24"/>
        </w:rPr>
        <w:t>4. Ein Einwilligungsvorbehalt ist gem. § 1</w:t>
      </w:r>
      <w:r w:rsidR="00DC1D28">
        <w:rPr>
          <w:rFonts w:ascii="Arial" w:hAnsi="Arial" w:cs="Arial"/>
          <w:sz w:val="24"/>
          <w:szCs w:val="24"/>
        </w:rPr>
        <w:t>825</w:t>
      </w:r>
      <w:bookmarkStart w:id="0" w:name="_GoBack"/>
      <w:bookmarkEnd w:id="0"/>
      <w:r>
        <w:rPr>
          <w:rFonts w:ascii="Arial" w:hAnsi="Arial" w:cs="Arial"/>
          <w:sz w:val="24"/>
          <w:szCs w:val="24"/>
        </w:rPr>
        <w:t xml:space="preserve"> Abs. 1 S. 1 BGB anzuordnen, wenn dies zur Anwendung einer erheblichen krankheitsbedingten Gefahr für die Person oder das Vermögen des Betreuten erforderlich ist.</w:t>
      </w:r>
    </w:p>
    <w:p w:rsidR="00EB5AD2" w:rsidRDefault="00EB5AD2">
      <w:pPr>
        <w:rPr>
          <w:rFonts w:ascii="Arial" w:hAnsi="Arial" w:cs="Arial"/>
          <w:sz w:val="24"/>
          <w:szCs w:val="24"/>
        </w:rPr>
      </w:pPr>
      <w:r>
        <w:rPr>
          <w:rFonts w:ascii="Arial" w:hAnsi="Arial" w:cs="Arial"/>
          <w:sz w:val="24"/>
          <w:szCs w:val="24"/>
        </w:rPr>
        <w:t>Hier kommt nur die Vermögensgefahr in Betracht. Diese besteht hier wirklich, da schon erhebliche Schulden angehäuft wurden. Eine weitere Voraussetzung ist, dass diese Gefahr aus einer krankhaft bedingten Abgabe von unvernünftigen Willenserklärungen herrührt, denn nur für Willenserklärungen kann ein Einwilligungsvorbehalt angeordnet werden. Die Bestellung von neuen Kleidern in kurzen Abständen ist unvernünftig, da die Kleidung nicht bezahlt werden kann, und sie ist krankheitsbedingt, denn sie beruht auf dem Ausfall der Gedächtnisfunktion.</w:t>
      </w:r>
    </w:p>
    <w:p w:rsidR="00EB5AD2" w:rsidRDefault="00EB5AD2">
      <w:pPr>
        <w:rPr>
          <w:rFonts w:ascii="Arial" w:hAnsi="Arial" w:cs="Arial"/>
          <w:sz w:val="24"/>
          <w:szCs w:val="24"/>
        </w:rPr>
      </w:pPr>
      <w:r>
        <w:rPr>
          <w:rFonts w:ascii="Arial" w:hAnsi="Arial" w:cs="Arial"/>
          <w:sz w:val="24"/>
          <w:szCs w:val="24"/>
        </w:rPr>
        <w:t>Fraglich ist, ob der Einwilligungsvorbehalt zur Abwendung der Gefahr erforderlich ist. Dem könnte entgegenstehen, dass die Betreute im Sinne von § 104 Nr. 2 BGB geschäftsunfähig ist und die von ihr abgegebenen Willenserklärungen ohnehin gem. § 105 Abs. 1 BGB nichtig sein könnten.</w:t>
      </w:r>
    </w:p>
    <w:p w:rsidR="009E58F7" w:rsidRDefault="009E58F7">
      <w:pPr>
        <w:rPr>
          <w:rFonts w:ascii="Arial" w:hAnsi="Arial" w:cs="Arial"/>
          <w:sz w:val="24"/>
          <w:szCs w:val="24"/>
        </w:rPr>
      </w:pPr>
      <w:r>
        <w:rPr>
          <w:rFonts w:ascii="Arial" w:hAnsi="Arial" w:cs="Arial"/>
          <w:sz w:val="24"/>
          <w:szCs w:val="24"/>
        </w:rPr>
        <w:lastRenderedPageBreak/>
        <w:t xml:space="preserve">Frau </w:t>
      </w:r>
      <w:proofErr w:type="spellStart"/>
      <w:r>
        <w:rPr>
          <w:rFonts w:ascii="Arial" w:hAnsi="Arial" w:cs="Arial"/>
          <w:sz w:val="24"/>
          <w:szCs w:val="24"/>
        </w:rPr>
        <w:t>Baschin</w:t>
      </w:r>
      <w:proofErr w:type="spellEnd"/>
      <w:r>
        <w:rPr>
          <w:rFonts w:ascii="Arial" w:hAnsi="Arial" w:cs="Arial"/>
          <w:sz w:val="24"/>
          <w:szCs w:val="24"/>
        </w:rPr>
        <w:t xml:space="preserve"> leidet an einem fast völligen Ausfall des Kurzzeitgedächtnisses. Das ist eine krankhafte Störung der Geistestätigkeit, die die freie Willensbestimmung ausschließt, da das Kurzzeitgedächtnis zur Abwägung des Für und Wider einer Entscheidung notwendig ist. Frau Förster ist daher gem. § 104 Abs. 2 BGB geschäftsunfähig.</w:t>
      </w:r>
    </w:p>
    <w:p w:rsidR="009E58F7" w:rsidRDefault="009E58F7">
      <w:pPr>
        <w:rPr>
          <w:rFonts w:ascii="Arial" w:hAnsi="Arial" w:cs="Arial"/>
          <w:sz w:val="24"/>
          <w:szCs w:val="24"/>
        </w:rPr>
      </w:pPr>
      <w:r>
        <w:rPr>
          <w:rFonts w:ascii="Arial" w:hAnsi="Arial" w:cs="Arial"/>
          <w:sz w:val="24"/>
          <w:szCs w:val="24"/>
        </w:rPr>
        <w:t xml:space="preserve">Da dies aber im Einzelfall dem Geschäftspartner gegenüber immer erst bewiesen werden muss, wobei Frau </w:t>
      </w:r>
      <w:proofErr w:type="spellStart"/>
      <w:r>
        <w:rPr>
          <w:rFonts w:ascii="Arial" w:hAnsi="Arial" w:cs="Arial"/>
          <w:sz w:val="24"/>
          <w:szCs w:val="24"/>
        </w:rPr>
        <w:t>Baschin</w:t>
      </w:r>
      <w:proofErr w:type="spellEnd"/>
      <w:r>
        <w:rPr>
          <w:rFonts w:ascii="Arial" w:hAnsi="Arial" w:cs="Arial"/>
          <w:sz w:val="24"/>
          <w:szCs w:val="24"/>
        </w:rPr>
        <w:t xml:space="preserve"> die Gefahr der </w:t>
      </w:r>
      <w:proofErr w:type="spellStart"/>
      <w:r>
        <w:rPr>
          <w:rFonts w:ascii="Arial" w:hAnsi="Arial" w:cs="Arial"/>
          <w:sz w:val="24"/>
          <w:szCs w:val="24"/>
        </w:rPr>
        <w:t>Nichterweisbarkeit</w:t>
      </w:r>
      <w:proofErr w:type="spellEnd"/>
      <w:r>
        <w:rPr>
          <w:rFonts w:ascii="Arial" w:hAnsi="Arial" w:cs="Arial"/>
          <w:sz w:val="24"/>
          <w:szCs w:val="24"/>
        </w:rPr>
        <w:t xml:space="preserve"> trägt, gefährdet sie ihr Vermögen durch die Bestellungen auch dann, wenn diese nichtig sind. Ihre Geschäftsunfähigkeit steht einer Anordnung eines Einwilligungsvorbehalts nicht entgegen.</w:t>
      </w:r>
    </w:p>
    <w:p w:rsidR="00D31784" w:rsidRPr="00D31784" w:rsidRDefault="00D31784">
      <w:pPr>
        <w:rPr>
          <w:rFonts w:ascii="Arial" w:hAnsi="Arial" w:cs="Arial"/>
          <w:b/>
          <w:sz w:val="24"/>
          <w:szCs w:val="24"/>
        </w:rPr>
      </w:pPr>
      <w:r>
        <w:rPr>
          <w:rFonts w:ascii="Arial" w:hAnsi="Arial" w:cs="Arial"/>
          <w:sz w:val="24"/>
          <w:szCs w:val="24"/>
        </w:rPr>
        <w:t xml:space="preserve"> </w:t>
      </w:r>
    </w:p>
    <w:sectPr w:rsidR="00D31784" w:rsidRPr="00D3178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784"/>
    <w:rsid w:val="00945D37"/>
    <w:rsid w:val="009E58F7"/>
    <w:rsid w:val="00D31784"/>
    <w:rsid w:val="00DC1D28"/>
    <w:rsid w:val="00EB5A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177CC"/>
  <w15:chartTrackingRefBased/>
  <w15:docId w15:val="{7A649F5E-D419-4C92-88F3-D6E71134A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DC1D2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C1D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428</Words>
  <Characters>2700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dc:creator>
  <cp:keywords/>
  <dc:description/>
  <cp:lastModifiedBy>Neuendorf-Schulz, Simone</cp:lastModifiedBy>
  <cp:revision>3</cp:revision>
  <cp:lastPrinted>2023-01-25T05:16:00Z</cp:lastPrinted>
  <dcterms:created xsi:type="dcterms:W3CDTF">2022-01-25T11:35:00Z</dcterms:created>
  <dcterms:modified xsi:type="dcterms:W3CDTF">2023-01-25T05:16:00Z</dcterms:modified>
</cp:coreProperties>
</file>