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D37" w:rsidRDefault="00D70096">
      <w:pPr>
        <w:rPr>
          <w:rFonts w:ascii="Arial" w:hAnsi="Arial" w:cs="Arial"/>
          <w:b/>
          <w:sz w:val="28"/>
          <w:szCs w:val="28"/>
        </w:rPr>
      </w:pPr>
      <w:r w:rsidRPr="00D70096">
        <w:rPr>
          <w:rFonts w:ascii="Arial" w:hAnsi="Arial" w:cs="Arial"/>
          <w:b/>
          <w:sz w:val="28"/>
          <w:szCs w:val="28"/>
        </w:rPr>
        <w:t>Fall 4</w:t>
      </w:r>
      <w:r>
        <w:rPr>
          <w:rFonts w:ascii="Arial" w:hAnsi="Arial" w:cs="Arial"/>
          <w:b/>
          <w:sz w:val="28"/>
          <w:szCs w:val="28"/>
        </w:rPr>
        <w:t xml:space="preserve">: Charlotte </w:t>
      </w:r>
      <w:proofErr w:type="spellStart"/>
      <w:r>
        <w:rPr>
          <w:rFonts w:ascii="Arial" w:hAnsi="Arial" w:cs="Arial"/>
          <w:b/>
          <w:sz w:val="28"/>
          <w:szCs w:val="28"/>
        </w:rPr>
        <w:t>Baschin</w:t>
      </w:r>
      <w:proofErr w:type="spellEnd"/>
    </w:p>
    <w:p w:rsidR="00D70096" w:rsidRDefault="00D70096">
      <w:pPr>
        <w:rPr>
          <w:rFonts w:ascii="Arial" w:hAnsi="Arial" w:cs="Arial"/>
          <w:b/>
          <w:sz w:val="28"/>
          <w:szCs w:val="28"/>
        </w:rPr>
      </w:pPr>
    </w:p>
    <w:p w:rsidR="00D70096" w:rsidRDefault="00D70096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Sachverhalt:</w:t>
      </w:r>
    </w:p>
    <w:p w:rsidR="00D70096" w:rsidRDefault="00D70096" w:rsidP="00CC7EBC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:rsidR="00D70096" w:rsidRDefault="00D70096" w:rsidP="00CC7EBC">
      <w:pPr>
        <w:spacing w:line="360" w:lineRule="auto"/>
        <w:rPr>
          <w:rFonts w:ascii="Arial" w:hAnsi="Arial" w:cs="Arial"/>
        </w:rPr>
      </w:pPr>
      <w:r w:rsidRPr="00D70096">
        <w:rPr>
          <w:rFonts w:ascii="Arial" w:hAnsi="Arial" w:cs="Arial"/>
        </w:rPr>
        <w:t xml:space="preserve">Charlotte </w:t>
      </w:r>
      <w:proofErr w:type="spellStart"/>
      <w:r w:rsidRPr="00D70096">
        <w:rPr>
          <w:rFonts w:ascii="Arial" w:hAnsi="Arial" w:cs="Arial"/>
        </w:rPr>
        <w:t>Baschin</w:t>
      </w:r>
      <w:proofErr w:type="spellEnd"/>
      <w:r w:rsidR="00CC7EBC">
        <w:rPr>
          <w:rFonts w:ascii="Arial" w:hAnsi="Arial" w:cs="Arial"/>
        </w:rPr>
        <w:t xml:space="preserve"> ist stark altersverwirrt, d</w:t>
      </w:r>
      <w:r>
        <w:rPr>
          <w:rFonts w:ascii="Arial" w:hAnsi="Arial" w:cs="Arial"/>
        </w:rPr>
        <w:t xml:space="preserve">as Kurzzeitgedächtnis ist so gut wie erloschen. </w:t>
      </w:r>
    </w:p>
    <w:p w:rsidR="00D70096" w:rsidRDefault="00D70096" w:rsidP="00CC7EB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Sie hat in letzter Zeit seltsame Bestellungen getätigt, z.B. beim Versandhaus jeden zweiten Tag ein Kleid bestellt, weil sie es sofort wieder vergessen hatte.</w:t>
      </w:r>
    </w:p>
    <w:p w:rsidR="00D70096" w:rsidRDefault="00D70096" w:rsidP="00CC7EB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 inzwischen erhebliche Schulden aufgelaufen waren, bestellte das Betreuungsgericht aufgrund eines Attestes ihres Hausarztes durch einstweilige Anordnung den Sozialarbeiter</w:t>
      </w:r>
    </w:p>
    <w:p w:rsidR="00D70096" w:rsidRDefault="00D70096" w:rsidP="00CC7EB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Harald Heiter zum vorläufigen Betreuer mit den Aufgabenkreisen Vermögensangelegenheiten, Aufenthaltsbestimmung und Wohnungs- und Gesundheitsangelegenheiten.</w:t>
      </w:r>
    </w:p>
    <w:p w:rsidR="00D70096" w:rsidRDefault="00D70096" w:rsidP="00CC7EB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Frau </w:t>
      </w:r>
      <w:proofErr w:type="spellStart"/>
      <w:r>
        <w:rPr>
          <w:rFonts w:ascii="Arial" w:hAnsi="Arial" w:cs="Arial"/>
        </w:rPr>
        <w:t>Baschin</w:t>
      </w:r>
      <w:proofErr w:type="spellEnd"/>
      <w:r>
        <w:rPr>
          <w:rFonts w:ascii="Arial" w:hAnsi="Arial" w:cs="Arial"/>
        </w:rPr>
        <w:t xml:space="preserve">, die seit Jahrzehnten allein in ihrem Haus lebt und ihrer Umgebung </w:t>
      </w:r>
      <w:r w:rsidR="001527C1">
        <w:rPr>
          <w:rFonts w:ascii="Arial" w:hAnsi="Arial" w:cs="Arial"/>
        </w:rPr>
        <w:t>gegenüber</w:t>
      </w:r>
    </w:p>
    <w:p w:rsidR="001527C1" w:rsidRDefault="001527C1" w:rsidP="00CC7EB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sehr misstrauisch ist, weigert sich beharrlich, den Richter oder einen Gutachter in ihr Haus zu lassen. </w:t>
      </w:r>
      <w:r w:rsidR="00EC1F48">
        <w:rPr>
          <w:rFonts w:ascii="Arial" w:hAnsi="Arial" w:cs="Arial"/>
        </w:rPr>
        <w:t>Ins</w:t>
      </w:r>
      <w:r>
        <w:rPr>
          <w:rFonts w:ascii="Arial" w:hAnsi="Arial" w:cs="Arial"/>
        </w:rPr>
        <w:t xml:space="preserve"> Gericht oder zu einem „Irrendoktor“ geht sie freiwillig nicht.</w:t>
      </w:r>
      <w:bookmarkStart w:id="0" w:name="_GoBack"/>
      <w:bookmarkEnd w:id="0"/>
    </w:p>
    <w:p w:rsidR="001527C1" w:rsidRDefault="001527C1" w:rsidP="001527C1">
      <w:pPr>
        <w:jc w:val="both"/>
        <w:rPr>
          <w:rFonts w:ascii="Arial" w:hAnsi="Arial" w:cs="Arial"/>
        </w:rPr>
      </w:pPr>
    </w:p>
    <w:p w:rsidR="001527C1" w:rsidRDefault="001527C1" w:rsidP="001527C1">
      <w:pPr>
        <w:jc w:val="both"/>
        <w:rPr>
          <w:rFonts w:ascii="Arial" w:hAnsi="Arial" w:cs="Arial"/>
        </w:rPr>
      </w:pPr>
    </w:p>
    <w:p w:rsidR="001527C1" w:rsidRDefault="001527C1" w:rsidP="001527C1">
      <w:pPr>
        <w:jc w:val="both"/>
        <w:rPr>
          <w:rFonts w:ascii="Arial" w:hAnsi="Arial" w:cs="Arial"/>
          <w:b/>
          <w:sz w:val="28"/>
          <w:szCs w:val="28"/>
        </w:rPr>
      </w:pPr>
      <w:r w:rsidRPr="001527C1">
        <w:rPr>
          <w:rFonts w:ascii="Arial" w:hAnsi="Arial" w:cs="Arial"/>
          <w:b/>
          <w:sz w:val="28"/>
          <w:szCs w:val="28"/>
        </w:rPr>
        <w:t>Fragen:</w:t>
      </w:r>
    </w:p>
    <w:p w:rsidR="001527C1" w:rsidRDefault="000A274E" w:rsidP="001527C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 xml:space="preserve">1. </w:t>
      </w:r>
      <w:r w:rsidRPr="000A274E">
        <w:rPr>
          <w:rFonts w:ascii="Arial" w:hAnsi="Arial" w:cs="Arial"/>
        </w:rPr>
        <w:t xml:space="preserve">Warum hat das Betreuungsgericht noch keine endgültige Betreuerbestellung vornehmen </w:t>
      </w:r>
      <w:r>
        <w:rPr>
          <w:rFonts w:ascii="Arial" w:hAnsi="Arial" w:cs="Arial"/>
        </w:rPr>
        <w:t xml:space="preserve">   </w:t>
      </w:r>
      <w:r w:rsidRPr="000A274E">
        <w:rPr>
          <w:rFonts w:ascii="Arial" w:hAnsi="Arial" w:cs="Arial"/>
        </w:rPr>
        <w:t>können?</w:t>
      </w:r>
    </w:p>
    <w:p w:rsidR="000A274E" w:rsidRPr="000A274E" w:rsidRDefault="000A274E" w:rsidP="001527C1">
      <w:pPr>
        <w:jc w:val="both"/>
        <w:rPr>
          <w:rFonts w:ascii="Arial" w:hAnsi="Arial" w:cs="Arial"/>
        </w:rPr>
      </w:pPr>
    </w:p>
    <w:p w:rsidR="000A274E" w:rsidRDefault="000A274E" w:rsidP="001527C1">
      <w:pPr>
        <w:jc w:val="both"/>
        <w:rPr>
          <w:rFonts w:ascii="Arial" w:hAnsi="Arial" w:cs="Arial"/>
        </w:rPr>
      </w:pPr>
      <w:r w:rsidRPr="00D974E8">
        <w:rPr>
          <w:rFonts w:ascii="Arial" w:hAnsi="Arial" w:cs="Arial"/>
          <w:b/>
          <w:sz w:val="28"/>
          <w:szCs w:val="28"/>
        </w:rPr>
        <w:t>2.</w:t>
      </w:r>
      <w:r w:rsidR="00D974E8">
        <w:rPr>
          <w:rFonts w:ascii="Arial" w:hAnsi="Arial" w:cs="Arial"/>
          <w:sz w:val="28"/>
          <w:szCs w:val="28"/>
        </w:rPr>
        <w:t xml:space="preserve"> </w:t>
      </w:r>
      <w:r w:rsidRPr="000A274E">
        <w:rPr>
          <w:rFonts w:ascii="Arial" w:hAnsi="Arial" w:cs="Arial"/>
        </w:rPr>
        <w:t xml:space="preserve">Was </w:t>
      </w:r>
      <w:r>
        <w:rPr>
          <w:rFonts w:ascii="Arial" w:hAnsi="Arial" w:cs="Arial"/>
        </w:rPr>
        <w:t xml:space="preserve">muss das Betreuungsgericht tun, wenn Frau </w:t>
      </w:r>
      <w:proofErr w:type="spellStart"/>
      <w:r>
        <w:rPr>
          <w:rFonts w:ascii="Arial" w:hAnsi="Arial" w:cs="Arial"/>
        </w:rPr>
        <w:t>Baschin</w:t>
      </w:r>
      <w:proofErr w:type="spellEnd"/>
      <w:r>
        <w:rPr>
          <w:rFonts w:ascii="Arial" w:hAnsi="Arial" w:cs="Arial"/>
        </w:rPr>
        <w:t xml:space="preserve"> bei ihrer Weigerung, sich untersuchen oder von einem Richter anhören zu lassen, bleibt?</w:t>
      </w:r>
    </w:p>
    <w:p w:rsidR="000A274E" w:rsidRDefault="000A274E" w:rsidP="001527C1">
      <w:pPr>
        <w:jc w:val="both"/>
        <w:rPr>
          <w:rFonts w:ascii="Arial" w:hAnsi="Arial" w:cs="Arial"/>
        </w:rPr>
      </w:pPr>
    </w:p>
    <w:p w:rsidR="000A274E" w:rsidRDefault="000A274E" w:rsidP="001527C1">
      <w:pPr>
        <w:jc w:val="both"/>
        <w:rPr>
          <w:rFonts w:ascii="Arial" w:hAnsi="Arial" w:cs="Arial"/>
        </w:rPr>
      </w:pPr>
      <w:r w:rsidRPr="000A274E">
        <w:rPr>
          <w:rFonts w:ascii="Arial" w:hAnsi="Arial" w:cs="Arial"/>
          <w:b/>
          <w:sz w:val="28"/>
          <w:szCs w:val="28"/>
        </w:rPr>
        <w:t>3</w:t>
      </w:r>
      <w:r>
        <w:rPr>
          <w:rFonts w:ascii="Arial" w:hAnsi="Arial" w:cs="Arial"/>
        </w:rPr>
        <w:t>. Für wie lange kann das Gericht einen Betreuer vorläufig bestellen?</w:t>
      </w:r>
    </w:p>
    <w:p w:rsidR="000A274E" w:rsidRDefault="000A274E" w:rsidP="001527C1">
      <w:pPr>
        <w:jc w:val="both"/>
        <w:rPr>
          <w:rFonts w:ascii="Arial" w:hAnsi="Arial" w:cs="Arial"/>
        </w:rPr>
      </w:pPr>
    </w:p>
    <w:p w:rsidR="000A274E" w:rsidRPr="000A274E" w:rsidRDefault="000A274E" w:rsidP="001527C1">
      <w:pPr>
        <w:jc w:val="both"/>
        <w:rPr>
          <w:rFonts w:ascii="Arial" w:hAnsi="Arial" w:cs="Arial"/>
          <w:sz w:val="28"/>
          <w:szCs w:val="28"/>
        </w:rPr>
      </w:pPr>
      <w:r w:rsidRPr="00D974E8">
        <w:rPr>
          <w:rFonts w:ascii="Arial" w:hAnsi="Arial" w:cs="Arial"/>
          <w:b/>
          <w:sz w:val="28"/>
          <w:szCs w:val="28"/>
        </w:rPr>
        <w:t>4</w:t>
      </w:r>
      <w:r>
        <w:rPr>
          <w:rFonts w:ascii="Arial" w:hAnsi="Arial" w:cs="Arial"/>
        </w:rPr>
        <w:t>. Wird das Gericht einen vorläufigen Einwilligungsvorbehalt anordnen?</w:t>
      </w:r>
    </w:p>
    <w:sectPr w:rsidR="000A274E" w:rsidRPr="000A27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096"/>
    <w:rsid w:val="000A274E"/>
    <w:rsid w:val="001527C1"/>
    <w:rsid w:val="00945D37"/>
    <w:rsid w:val="00CC7EBC"/>
    <w:rsid w:val="00D70096"/>
    <w:rsid w:val="00D974E8"/>
    <w:rsid w:val="00E05B36"/>
    <w:rsid w:val="00EC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F2D94"/>
  <w15:chartTrackingRefBased/>
  <w15:docId w15:val="{5BC5A277-DE02-4A3A-81F7-A30A93526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</dc:creator>
  <cp:keywords/>
  <dc:description/>
  <cp:lastModifiedBy>Neuendorf-Schulz, Simone</cp:lastModifiedBy>
  <cp:revision>5</cp:revision>
  <dcterms:created xsi:type="dcterms:W3CDTF">2022-01-25T11:12:00Z</dcterms:created>
  <dcterms:modified xsi:type="dcterms:W3CDTF">2022-02-01T13:55:00Z</dcterms:modified>
</cp:coreProperties>
</file>