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920" w:rsidRDefault="00316F75">
      <w:pPr>
        <w:rPr>
          <w:rFonts w:ascii="Arial" w:hAnsi="Arial" w:cs="Arial"/>
          <w:b/>
          <w:sz w:val="28"/>
          <w:szCs w:val="28"/>
        </w:rPr>
      </w:pPr>
      <w:r>
        <w:rPr>
          <w:rFonts w:ascii="Arial" w:hAnsi="Arial" w:cs="Arial"/>
          <w:b/>
          <w:sz w:val="28"/>
          <w:szCs w:val="28"/>
        </w:rPr>
        <w:t xml:space="preserve"> Lösung </w:t>
      </w:r>
      <w:r w:rsidRPr="00316F75">
        <w:rPr>
          <w:rFonts w:ascii="Arial" w:hAnsi="Arial" w:cs="Arial"/>
          <w:b/>
          <w:sz w:val="28"/>
          <w:szCs w:val="28"/>
        </w:rPr>
        <w:t>Fall 6 – Michaela Schulz</w:t>
      </w:r>
    </w:p>
    <w:p w:rsidR="00316F75" w:rsidRDefault="00316F75">
      <w:pPr>
        <w:rPr>
          <w:rFonts w:ascii="Arial" w:hAnsi="Arial" w:cs="Arial"/>
          <w:b/>
          <w:sz w:val="28"/>
          <w:szCs w:val="28"/>
        </w:rPr>
      </w:pPr>
    </w:p>
    <w:p w:rsidR="00316F75" w:rsidRDefault="00316F75">
      <w:pPr>
        <w:rPr>
          <w:rFonts w:ascii="Arial" w:hAnsi="Arial" w:cs="Arial"/>
          <w:sz w:val="24"/>
          <w:szCs w:val="24"/>
        </w:rPr>
      </w:pPr>
      <w:r>
        <w:rPr>
          <w:rFonts w:ascii="Arial" w:hAnsi="Arial" w:cs="Arial"/>
          <w:b/>
          <w:sz w:val="28"/>
          <w:szCs w:val="28"/>
        </w:rPr>
        <w:t xml:space="preserve">1. </w:t>
      </w:r>
      <w:r w:rsidRPr="00316F75">
        <w:rPr>
          <w:rFonts w:ascii="Arial" w:hAnsi="Arial" w:cs="Arial"/>
          <w:sz w:val="24"/>
          <w:szCs w:val="24"/>
        </w:rPr>
        <w:t>Grundsätzlich stellt es verbotene Eigenmacht</w:t>
      </w:r>
      <w:r>
        <w:rPr>
          <w:rFonts w:ascii="Arial" w:hAnsi="Arial" w:cs="Arial"/>
          <w:sz w:val="24"/>
          <w:szCs w:val="24"/>
        </w:rPr>
        <w:t xml:space="preserve"> im Sinne des § 858 Abs. 1 BGB und einen Verstoß gegen das Recht der Unverletzlichkeit der Wohnung (Art. 13 Abs. 1 GG) dar, die Wohnung eines Menschen gegen oder ohne dessen Wissen zu betreten. </w:t>
      </w:r>
    </w:p>
    <w:p w:rsidR="00316F75" w:rsidRDefault="00316F75" w:rsidP="00316F75">
      <w:pPr>
        <w:rPr>
          <w:rFonts w:ascii="Arial" w:hAnsi="Arial" w:cs="Arial"/>
          <w:sz w:val="24"/>
          <w:szCs w:val="24"/>
        </w:rPr>
      </w:pPr>
      <w:r>
        <w:rPr>
          <w:rFonts w:ascii="Arial" w:hAnsi="Arial" w:cs="Arial"/>
          <w:sz w:val="24"/>
          <w:szCs w:val="24"/>
        </w:rPr>
        <w:t xml:space="preserve">In diesem Fall ist es allerdings so, dass die Betroffene im Koma lag und daher nicht mehr in der Lage war, einen Willen zu der Frage zu bilden, wer sich in der Wohnung aufhalten darf. In diesem Fall steht einem Betreuer mit dem Aufgabenkreis Wohnungsangelegenheiten die Vertretung des Betreuten auch in dieser Frage zu, so dass Frau Heiter allein entscheiden konnte, wer die Wohnung von Frau Schulz betreten darf. Sie durfte sie unter den gegebenen Umständen demnach auch selbst betreten. </w:t>
      </w:r>
    </w:p>
    <w:p w:rsidR="00316F75" w:rsidRDefault="00316F75" w:rsidP="00316F75">
      <w:pPr>
        <w:rPr>
          <w:rFonts w:ascii="Arial" w:hAnsi="Arial" w:cs="Arial"/>
          <w:sz w:val="24"/>
          <w:szCs w:val="24"/>
        </w:rPr>
      </w:pPr>
    </w:p>
    <w:p w:rsidR="00735F8F" w:rsidRDefault="00316F75" w:rsidP="00316F75">
      <w:pPr>
        <w:rPr>
          <w:rFonts w:ascii="Arial" w:hAnsi="Arial" w:cs="Arial"/>
          <w:sz w:val="24"/>
          <w:szCs w:val="24"/>
        </w:rPr>
      </w:pPr>
      <w:r w:rsidRPr="008D5AD1">
        <w:rPr>
          <w:rFonts w:ascii="Arial" w:hAnsi="Arial" w:cs="Arial"/>
          <w:b/>
          <w:sz w:val="24"/>
          <w:szCs w:val="24"/>
        </w:rPr>
        <w:t>2.</w:t>
      </w:r>
      <w:r>
        <w:rPr>
          <w:rFonts w:ascii="Arial" w:hAnsi="Arial" w:cs="Arial"/>
          <w:sz w:val="24"/>
          <w:szCs w:val="24"/>
        </w:rPr>
        <w:t xml:space="preserve"> Frau Heiter </w:t>
      </w:r>
      <w:r w:rsidR="00735F8F">
        <w:rPr>
          <w:rFonts w:ascii="Arial" w:hAnsi="Arial" w:cs="Arial"/>
          <w:sz w:val="24"/>
          <w:szCs w:val="24"/>
        </w:rPr>
        <w:t>beabsichtigt gemäß Sachverhalt a) die Wohnung aufzulösen, b) einen Platz in einer geeigneten Einrichtung zu suchen, c) die Wohnung zu verkaufen.</w:t>
      </w:r>
    </w:p>
    <w:p w:rsidR="00735F8F" w:rsidRDefault="00735F8F" w:rsidP="00316F75">
      <w:pPr>
        <w:rPr>
          <w:rFonts w:ascii="Arial" w:hAnsi="Arial" w:cs="Arial"/>
          <w:sz w:val="24"/>
          <w:szCs w:val="24"/>
        </w:rPr>
      </w:pPr>
      <w:r>
        <w:rPr>
          <w:rFonts w:ascii="Arial" w:hAnsi="Arial" w:cs="Arial"/>
          <w:sz w:val="24"/>
          <w:szCs w:val="24"/>
        </w:rPr>
        <w:t>Bei allen geplanten Aktionen handelt es sich um wichtige Angelegenheiten, die sie mit Frau Michaela Schulz besprechen musste (§1</w:t>
      </w:r>
      <w:r w:rsidR="00E611B5">
        <w:rPr>
          <w:rFonts w:ascii="Arial" w:hAnsi="Arial" w:cs="Arial"/>
          <w:sz w:val="24"/>
          <w:szCs w:val="24"/>
        </w:rPr>
        <w:t>821</w:t>
      </w:r>
      <w:r>
        <w:rPr>
          <w:rFonts w:ascii="Arial" w:hAnsi="Arial" w:cs="Arial"/>
          <w:sz w:val="24"/>
          <w:szCs w:val="24"/>
        </w:rPr>
        <w:t xml:space="preserve"> Abs. </w:t>
      </w:r>
      <w:r w:rsidR="00E611B5">
        <w:rPr>
          <w:rFonts w:ascii="Arial" w:hAnsi="Arial" w:cs="Arial"/>
          <w:sz w:val="24"/>
          <w:szCs w:val="24"/>
        </w:rPr>
        <w:t>2 S. 2</w:t>
      </w:r>
      <w:r>
        <w:rPr>
          <w:rFonts w:ascii="Arial" w:hAnsi="Arial" w:cs="Arial"/>
          <w:sz w:val="24"/>
          <w:szCs w:val="24"/>
        </w:rPr>
        <w:t xml:space="preserve"> BGB)</w:t>
      </w:r>
    </w:p>
    <w:p w:rsidR="00735F8F" w:rsidRDefault="00735F8F" w:rsidP="00316F75">
      <w:pPr>
        <w:rPr>
          <w:rFonts w:ascii="Arial" w:hAnsi="Arial" w:cs="Arial"/>
          <w:sz w:val="24"/>
          <w:szCs w:val="24"/>
        </w:rPr>
      </w:pPr>
      <w:r>
        <w:rPr>
          <w:rFonts w:ascii="Arial" w:hAnsi="Arial" w:cs="Arial"/>
          <w:sz w:val="24"/>
          <w:szCs w:val="24"/>
        </w:rPr>
        <w:t>Michaela Schulz lehnt es ab, ihre Wohnung aufzugeben. Gabriele Heiter darf dies daher nur, wenn dieser Wunsch dem Wohl der Michaela Schulz widerspricht (§ 1</w:t>
      </w:r>
      <w:r w:rsidR="00A51D52">
        <w:rPr>
          <w:rFonts w:ascii="Arial" w:hAnsi="Arial" w:cs="Arial"/>
          <w:sz w:val="24"/>
          <w:szCs w:val="24"/>
        </w:rPr>
        <w:t>821</w:t>
      </w:r>
      <w:r>
        <w:rPr>
          <w:rFonts w:ascii="Arial" w:hAnsi="Arial" w:cs="Arial"/>
          <w:sz w:val="24"/>
          <w:szCs w:val="24"/>
        </w:rPr>
        <w:t xml:space="preserve">Abs. 3 S. 1 </w:t>
      </w:r>
      <w:r w:rsidR="00A51D52">
        <w:rPr>
          <w:rFonts w:ascii="Arial" w:hAnsi="Arial" w:cs="Arial"/>
          <w:sz w:val="24"/>
          <w:szCs w:val="24"/>
        </w:rPr>
        <w:t xml:space="preserve">Nr. 1 </w:t>
      </w:r>
      <w:bookmarkStart w:id="0" w:name="_GoBack"/>
      <w:bookmarkEnd w:id="0"/>
      <w:r>
        <w:rPr>
          <w:rFonts w:ascii="Arial" w:hAnsi="Arial" w:cs="Arial"/>
          <w:sz w:val="24"/>
          <w:szCs w:val="24"/>
        </w:rPr>
        <w:t xml:space="preserve">BGB). Das dürfte hier der Fall sein, da Michaela Schulz in ihrem derzeitigen Zustand nicht wieder in ihrer Dachgeschoss Wohnung wird wohnen können und ihr Einkommen nicht ausreicht, um eine andere Wohnung zu finanzieren. </w:t>
      </w:r>
    </w:p>
    <w:p w:rsidR="00735F8F" w:rsidRDefault="00735F8F" w:rsidP="00316F75">
      <w:pPr>
        <w:rPr>
          <w:rFonts w:ascii="Arial" w:hAnsi="Arial" w:cs="Arial"/>
          <w:sz w:val="24"/>
          <w:szCs w:val="24"/>
        </w:rPr>
      </w:pPr>
      <w:r>
        <w:rPr>
          <w:rFonts w:ascii="Arial" w:hAnsi="Arial" w:cs="Arial"/>
          <w:sz w:val="24"/>
          <w:szCs w:val="24"/>
        </w:rPr>
        <w:t xml:space="preserve">Sozialhilfe könnte sie nur unter der Voraussetzung erhalten, dass sie vorher </w:t>
      </w:r>
      <w:r w:rsidR="007437F3">
        <w:rPr>
          <w:rFonts w:ascii="Arial" w:hAnsi="Arial" w:cs="Arial"/>
          <w:sz w:val="24"/>
          <w:szCs w:val="24"/>
        </w:rPr>
        <w:t>die Dachgeschosswohnung veräußert (kein Schonvermögen, da sie die Wohnung aufgrund ihres gesundheitlichen Zustands nicht mehr bewohnen kann).</w:t>
      </w:r>
    </w:p>
    <w:p w:rsidR="007437F3" w:rsidRDefault="007437F3" w:rsidP="00316F75">
      <w:pPr>
        <w:rPr>
          <w:rFonts w:ascii="Arial" w:hAnsi="Arial" w:cs="Arial"/>
          <w:sz w:val="24"/>
          <w:szCs w:val="24"/>
        </w:rPr>
      </w:pPr>
      <w:r>
        <w:rPr>
          <w:rFonts w:ascii="Arial" w:hAnsi="Arial" w:cs="Arial"/>
          <w:sz w:val="24"/>
          <w:szCs w:val="24"/>
        </w:rPr>
        <w:t>Um die Wohnung verwerten zu können muss Gabriele Heiter den Haushalt auflösen und dies dem Betreuungsgericht rechtzeitig gem. § 1907 Abs.2 S. 2 BGB vorher anzeigen.</w:t>
      </w:r>
    </w:p>
    <w:p w:rsidR="007437F3" w:rsidRDefault="007437F3" w:rsidP="00316F75">
      <w:pPr>
        <w:rPr>
          <w:rFonts w:ascii="Arial" w:hAnsi="Arial" w:cs="Arial"/>
          <w:sz w:val="24"/>
          <w:szCs w:val="24"/>
        </w:rPr>
      </w:pPr>
      <w:r>
        <w:rPr>
          <w:rFonts w:ascii="Arial" w:hAnsi="Arial" w:cs="Arial"/>
          <w:sz w:val="24"/>
          <w:szCs w:val="24"/>
        </w:rPr>
        <w:t>Für Verkauf der Wohnung benötigt außerdem eine betreuungsgerichtliche Genehmigung (§§ 1908i Abs. 1 S. 1, 1821 Abs. 1 Nr.1,4 BGB).</w:t>
      </w:r>
    </w:p>
    <w:p w:rsidR="007437F3" w:rsidRDefault="007437F3" w:rsidP="00316F75">
      <w:pPr>
        <w:rPr>
          <w:rFonts w:ascii="Arial" w:hAnsi="Arial" w:cs="Arial"/>
          <w:sz w:val="24"/>
          <w:szCs w:val="24"/>
        </w:rPr>
      </w:pPr>
      <w:r>
        <w:rPr>
          <w:rFonts w:ascii="Arial" w:hAnsi="Arial" w:cs="Arial"/>
          <w:sz w:val="24"/>
          <w:szCs w:val="24"/>
        </w:rPr>
        <w:t>Michaela Schulz lehnt es ab in eine Pflegeeinrichtung zu ziehen. Ob Gabriele Heiter sie auch gegen ihren Willen dorthin bringen darf, ist gem. § 1901 Abs.3 S. 1 BGB festzustellen. Frau Schulz hat den Wunsch geäußert, ihre Eigentumswohnung weiter zu bewohnen, was nicht realistisch ist.</w:t>
      </w:r>
      <w:r w:rsidR="002C6C89">
        <w:rPr>
          <w:rFonts w:ascii="Arial" w:hAnsi="Arial" w:cs="Arial"/>
          <w:sz w:val="24"/>
          <w:szCs w:val="24"/>
        </w:rPr>
        <w:t xml:space="preserve"> </w:t>
      </w:r>
      <w:r>
        <w:rPr>
          <w:rFonts w:ascii="Arial" w:hAnsi="Arial" w:cs="Arial"/>
          <w:sz w:val="24"/>
          <w:szCs w:val="24"/>
        </w:rPr>
        <w:t xml:space="preserve">Frau Heiter </w:t>
      </w:r>
      <w:r w:rsidR="002C6C89">
        <w:rPr>
          <w:rFonts w:ascii="Arial" w:hAnsi="Arial" w:cs="Arial"/>
          <w:sz w:val="24"/>
          <w:szCs w:val="24"/>
        </w:rPr>
        <w:t xml:space="preserve">muss nun die Entscheidung treffen, die Michaela Schulz vermutlich getroffen hätte, wenn sie dies erkennen würde (§ 1901 Abs. 2 BGB). Es obliegt der Betreuerin zu prüfen, was hinter der Wunschäußerung steckt. Hängt sie an der Wohnung oder möchte sie selbstbestimmt außerhalb einer Einrichtung leben? In diesem Fall wäre zu prüfen, ob eine Alternative in Form des Betreuten Wohnens usw. in Frage kommen könnte. Nur wenn dies </w:t>
      </w:r>
      <w:r w:rsidR="002C6C89">
        <w:rPr>
          <w:rFonts w:ascii="Arial" w:hAnsi="Arial" w:cs="Arial"/>
          <w:sz w:val="24"/>
          <w:szCs w:val="24"/>
        </w:rPr>
        <w:lastRenderedPageBreak/>
        <w:t>ausscheidet, darf Frau Heiter die Unterbringung in einer Pflegeinrichtung in Betracht ziehen.</w:t>
      </w:r>
    </w:p>
    <w:p w:rsidR="002C6C89" w:rsidRDefault="002C6C89" w:rsidP="00316F75">
      <w:pPr>
        <w:rPr>
          <w:rFonts w:ascii="Arial" w:hAnsi="Arial" w:cs="Arial"/>
          <w:sz w:val="24"/>
          <w:szCs w:val="24"/>
        </w:rPr>
      </w:pPr>
    </w:p>
    <w:p w:rsidR="003A2588" w:rsidRDefault="002C6C89" w:rsidP="00316F75">
      <w:pPr>
        <w:rPr>
          <w:rFonts w:ascii="Arial" w:hAnsi="Arial" w:cs="Arial"/>
          <w:sz w:val="24"/>
          <w:szCs w:val="24"/>
        </w:rPr>
      </w:pPr>
      <w:r w:rsidRPr="008D5AD1">
        <w:rPr>
          <w:rFonts w:ascii="Arial" w:hAnsi="Arial" w:cs="Arial"/>
          <w:b/>
          <w:sz w:val="24"/>
          <w:szCs w:val="24"/>
        </w:rPr>
        <w:t>3.</w:t>
      </w:r>
      <w:r>
        <w:rPr>
          <w:rFonts w:ascii="Arial" w:hAnsi="Arial" w:cs="Arial"/>
          <w:sz w:val="24"/>
          <w:szCs w:val="24"/>
        </w:rPr>
        <w:t xml:space="preserve"> Um die Beitragsrückstande bezahlen zu können, muss </w:t>
      </w:r>
      <w:r w:rsidR="003A2588">
        <w:rPr>
          <w:rFonts w:ascii="Arial" w:hAnsi="Arial" w:cs="Arial"/>
          <w:sz w:val="24"/>
          <w:szCs w:val="24"/>
        </w:rPr>
        <w:t xml:space="preserve">Betreuerin Heiter über das Kontoguthaben verfügen. Das Kontoguthaben stellt eine Forderung gegen die Bank dar. Eigentlich wäre für die Verfügung darüber eine Genehmigung nach §§ 1908i Abs. 1 S. 1, 1812 Abs.1 S. 1 BGB erforderlich. Guthaben auf Girokonten sind jedoch Bargeldersatz und daher gem. § 1813 Abs. 1 Nr. 3 BGB von dieser Genehmigungspflicht ausgenommen. </w:t>
      </w:r>
    </w:p>
    <w:p w:rsidR="002C6C89" w:rsidRDefault="003A2588" w:rsidP="00316F75">
      <w:pPr>
        <w:rPr>
          <w:rFonts w:ascii="Arial" w:hAnsi="Arial" w:cs="Arial"/>
          <w:sz w:val="24"/>
          <w:szCs w:val="24"/>
        </w:rPr>
      </w:pPr>
      <w:r>
        <w:rPr>
          <w:rFonts w:ascii="Arial" w:hAnsi="Arial" w:cs="Arial"/>
          <w:sz w:val="24"/>
          <w:szCs w:val="24"/>
        </w:rPr>
        <w:t>Das nicht „demnächst“ benötigte Geld muss Gabriele Heiter gem. §§ 1908i Abs. 1 S. 1, 1806 BGB verzinslich anlegen (in einer der in § 1807 BGB beschriebenen Formen). Auch hierfür benötigt sie die Genehmigung des Betreuungsgerichts (§§ 1908i Abs. 1 S. 1, 1810 BGB). Das Betreuungsgericht kann aber auch eine andere Form der Geldanlage bewilligen (</w:t>
      </w:r>
      <w:r w:rsidR="008D5AD1">
        <w:rPr>
          <w:rFonts w:ascii="Arial" w:hAnsi="Arial" w:cs="Arial"/>
          <w:sz w:val="24"/>
          <w:szCs w:val="24"/>
        </w:rPr>
        <w:t>§§1908i Abs. 1 S. 1, 1811 BGB).</w:t>
      </w:r>
    </w:p>
    <w:p w:rsidR="008D5AD1" w:rsidRDefault="008D5AD1" w:rsidP="00316F75">
      <w:pPr>
        <w:rPr>
          <w:rFonts w:ascii="Arial" w:hAnsi="Arial" w:cs="Arial"/>
          <w:sz w:val="24"/>
          <w:szCs w:val="24"/>
        </w:rPr>
      </w:pPr>
      <w:r>
        <w:rPr>
          <w:rFonts w:ascii="Arial" w:hAnsi="Arial" w:cs="Arial"/>
          <w:sz w:val="24"/>
          <w:szCs w:val="24"/>
        </w:rPr>
        <w:t>Eine Anlage auf einem gewöhnlichen Sparbuch mit Mündelsperre (§§ 1908i Abs. 1 S. 1, 1809 BGB) wäre evtl. sinnvoll, da sie das Geld nach und nach verbrauchen wird müssen (§ 1807 Abs.1 Nr. 5 BGB).</w:t>
      </w:r>
    </w:p>
    <w:p w:rsidR="008D5AD1" w:rsidRDefault="008D5AD1" w:rsidP="00316F75">
      <w:pPr>
        <w:rPr>
          <w:rFonts w:ascii="Arial" w:hAnsi="Arial" w:cs="Arial"/>
          <w:sz w:val="24"/>
          <w:szCs w:val="24"/>
        </w:rPr>
      </w:pPr>
    </w:p>
    <w:p w:rsidR="008D5AD1" w:rsidRDefault="008D5AD1" w:rsidP="00316F75">
      <w:pPr>
        <w:rPr>
          <w:rFonts w:ascii="Arial" w:hAnsi="Arial" w:cs="Arial"/>
          <w:sz w:val="24"/>
          <w:szCs w:val="24"/>
        </w:rPr>
      </w:pPr>
      <w:r w:rsidRPr="008D5AD1">
        <w:rPr>
          <w:rFonts w:ascii="Arial" w:hAnsi="Arial" w:cs="Arial"/>
          <w:b/>
          <w:sz w:val="24"/>
          <w:szCs w:val="24"/>
        </w:rPr>
        <w:t>4.</w:t>
      </w:r>
      <w:r>
        <w:rPr>
          <w:rFonts w:ascii="Arial" w:hAnsi="Arial" w:cs="Arial"/>
          <w:sz w:val="24"/>
          <w:szCs w:val="24"/>
        </w:rPr>
        <w:t xml:space="preserve"> Wäre Frau Heiter Vereinsbetreuerin, so wäre sie gem. §§ 1908i Abs.2 S. 2, 1857a, 1852 Abs.2 BGB von den in §§ 1809, 1810 BGB genannten Beschränkungen befreit. Sie bräuchte für die mündelsichere Anlage des restlichen Geldes keine Genehmigung und auch das Sparbuch müsste mit keiner Mündelsperre versehen werden.</w:t>
      </w:r>
    </w:p>
    <w:p w:rsidR="00316F75" w:rsidRPr="00316F75" w:rsidRDefault="00735F8F" w:rsidP="00316F75">
      <w:pPr>
        <w:rPr>
          <w:rFonts w:ascii="Arial" w:hAnsi="Arial" w:cs="Arial"/>
          <w:b/>
          <w:sz w:val="28"/>
          <w:szCs w:val="28"/>
        </w:rPr>
      </w:pPr>
      <w:r>
        <w:rPr>
          <w:rFonts w:ascii="Arial" w:hAnsi="Arial" w:cs="Arial"/>
          <w:sz w:val="24"/>
          <w:szCs w:val="24"/>
        </w:rPr>
        <w:t xml:space="preserve"> </w:t>
      </w:r>
    </w:p>
    <w:sectPr w:rsidR="00316F75" w:rsidRPr="00316F7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F75"/>
    <w:rsid w:val="002C6C89"/>
    <w:rsid w:val="00316F75"/>
    <w:rsid w:val="003A2588"/>
    <w:rsid w:val="00735F8F"/>
    <w:rsid w:val="007437F3"/>
    <w:rsid w:val="00895920"/>
    <w:rsid w:val="008D5AD1"/>
    <w:rsid w:val="00A51D52"/>
    <w:rsid w:val="00E611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BF7FE"/>
  <w15:chartTrackingRefBased/>
  <w15:docId w15:val="{6781ADC8-E348-4446-BF1D-DAF2E6F23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3550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dc:creator>
  <cp:keywords/>
  <dc:description/>
  <cp:lastModifiedBy>Neuendorf-Schulz, Simone</cp:lastModifiedBy>
  <cp:revision>2</cp:revision>
  <dcterms:created xsi:type="dcterms:W3CDTF">2022-01-31T11:38:00Z</dcterms:created>
  <dcterms:modified xsi:type="dcterms:W3CDTF">2024-03-01T08:23:00Z</dcterms:modified>
</cp:coreProperties>
</file>