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BBF" w:rsidRDefault="00483CCF">
      <w:pPr>
        <w:rPr>
          <w:b/>
          <w:sz w:val="28"/>
          <w:szCs w:val="28"/>
        </w:rPr>
      </w:pPr>
      <w:r>
        <w:rPr>
          <w:b/>
          <w:sz w:val="28"/>
          <w:szCs w:val="28"/>
        </w:rPr>
        <w:t>Fall 3</w:t>
      </w:r>
    </w:p>
    <w:p w:rsidR="00483CCF" w:rsidRDefault="00483CCF">
      <w:pPr>
        <w:rPr>
          <w:b/>
          <w:sz w:val="28"/>
          <w:szCs w:val="28"/>
        </w:rPr>
      </w:pPr>
      <w:r>
        <w:rPr>
          <w:b/>
          <w:sz w:val="28"/>
          <w:szCs w:val="28"/>
        </w:rPr>
        <w:t>Lösungen:</w:t>
      </w:r>
    </w:p>
    <w:p w:rsidR="00483CCF" w:rsidRPr="003C77CB" w:rsidRDefault="00483CCF">
      <w:pPr>
        <w:rPr>
          <w:b/>
          <w:sz w:val="24"/>
          <w:szCs w:val="24"/>
        </w:rPr>
      </w:pPr>
      <w:r w:rsidRPr="003C77CB">
        <w:rPr>
          <w:b/>
          <w:sz w:val="24"/>
          <w:szCs w:val="24"/>
        </w:rPr>
        <w:t xml:space="preserve">Lösung Frage 1: </w:t>
      </w:r>
    </w:p>
    <w:p w:rsidR="00483CCF" w:rsidRDefault="00483CCF">
      <w:pPr>
        <w:rPr>
          <w:sz w:val="24"/>
          <w:szCs w:val="24"/>
        </w:rPr>
      </w:pPr>
    </w:p>
    <w:p w:rsidR="00483CCF" w:rsidRDefault="00483CCF">
      <w:pPr>
        <w:rPr>
          <w:sz w:val="24"/>
          <w:szCs w:val="24"/>
        </w:rPr>
      </w:pPr>
      <w:r>
        <w:rPr>
          <w:sz w:val="24"/>
          <w:szCs w:val="24"/>
        </w:rPr>
        <w:t>Die Bestellung eines weiteren Betreuers für den Fall der Verhinderung des Betreuers regelt § 18</w:t>
      </w:r>
      <w:r w:rsidR="00DC3DAF">
        <w:rPr>
          <w:sz w:val="24"/>
          <w:szCs w:val="24"/>
        </w:rPr>
        <w:t>17</w:t>
      </w:r>
      <w:r>
        <w:rPr>
          <w:sz w:val="24"/>
          <w:szCs w:val="24"/>
        </w:rPr>
        <w:t xml:space="preserve"> Abs. 4 BGB (sog. Ersatzbetreuer</w:t>
      </w:r>
      <w:r w:rsidR="00DC3DAF">
        <w:rPr>
          <w:sz w:val="24"/>
          <w:szCs w:val="24"/>
        </w:rPr>
        <w:t>/Verhinderungsbetreuer</w:t>
      </w:r>
      <w:r>
        <w:rPr>
          <w:sz w:val="24"/>
          <w:szCs w:val="24"/>
        </w:rPr>
        <w:t>). Da hier eine längere Verhinderung von Herrn Rechtsanwalt Hell absehbar war, musste da</w:t>
      </w:r>
      <w:r w:rsidR="002B45F0">
        <w:rPr>
          <w:sz w:val="24"/>
          <w:szCs w:val="24"/>
        </w:rPr>
        <w:t>s</w:t>
      </w:r>
      <w:r>
        <w:rPr>
          <w:sz w:val="24"/>
          <w:szCs w:val="24"/>
        </w:rPr>
        <w:t xml:space="preserve"> Gericht seiner Anregung, einen </w:t>
      </w:r>
      <w:r w:rsidR="00DC3DAF">
        <w:rPr>
          <w:sz w:val="24"/>
          <w:szCs w:val="24"/>
        </w:rPr>
        <w:t>Verhinderungsbetreuer</w:t>
      </w:r>
      <w:r>
        <w:rPr>
          <w:sz w:val="24"/>
          <w:szCs w:val="24"/>
        </w:rPr>
        <w:t xml:space="preserve"> zu bestellen, folgen.</w:t>
      </w:r>
    </w:p>
    <w:p w:rsidR="00483CCF" w:rsidRDefault="00483CCF">
      <w:pPr>
        <w:rPr>
          <w:sz w:val="24"/>
          <w:szCs w:val="24"/>
        </w:rPr>
      </w:pPr>
      <w:r>
        <w:rPr>
          <w:sz w:val="24"/>
          <w:szCs w:val="24"/>
        </w:rPr>
        <w:t>Entscheidungen auf der Grundlage von § 18</w:t>
      </w:r>
      <w:r w:rsidR="00DC3DAF">
        <w:rPr>
          <w:sz w:val="24"/>
          <w:szCs w:val="24"/>
        </w:rPr>
        <w:t>17</w:t>
      </w:r>
      <w:r>
        <w:rPr>
          <w:sz w:val="24"/>
          <w:szCs w:val="24"/>
        </w:rPr>
        <w:t xml:space="preserve"> BGB sind nach § 15 Abs. 1 Satz 1 Nr. 1 </w:t>
      </w:r>
      <w:proofErr w:type="spellStart"/>
      <w:r>
        <w:rPr>
          <w:sz w:val="24"/>
          <w:szCs w:val="24"/>
        </w:rPr>
        <w:t>RpflG</w:t>
      </w:r>
      <w:proofErr w:type="spellEnd"/>
      <w:r>
        <w:rPr>
          <w:sz w:val="24"/>
          <w:szCs w:val="24"/>
        </w:rPr>
        <w:t xml:space="preserve"> dem Richter vorbehalten.</w:t>
      </w:r>
    </w:p>
    <w:p w:rsidR="00483CCF" w:rsidRDefault="00483CCF">
      <w:pPr>
        <w:rPr>
          <w:sz w:val="24"/>
          <w:szCs w:val="24"/>
        </w:rPr>
      </w:pPr>
    </w:p>
    <w:p w:rsidR="00483CCF" w:rsidRPr="003C77CB" w:rsidRDefault="00483CCF">
      <w:pPr>
        <w:rPr>
          <w:b/>
          <w:sz w:val="24"/>
          <w:szCs w:val="24"/>
        </w:rPr>
      </w:pPr>
      <w:r w:rsidRPr="003C77CB">
        <w:rPr>
          <w:b/>
          <w:sz w:val="24"/>
          <w:szCs w:val="24"/>
        </w:rPr>
        <w:t>Lösung Frage 2:</w:t>
      </w:r>
    </w:p>
    <w:p w:rsidR="00483CCF" w:rsidRDefault="00483CCF">
      <w:pPr>
        <w:rPr>
          <w:sz w:val="24"/>
          <w:szCs w:val="24"/>
        </w:rPr>
      </w:pPr>
    </w:p>
    <w:p w:rsidR="00483CCF" w:rsidRDefault="00DC3DAF">
      <w:pPr>
        <w:rPr>
          <w:sz w:val="24"/>
          <w:szCs w:val="24"/>
        </w:rPr>
      </w:pPr>
      <w:r>
        <w:rPr>
          <w:sz w:val="24"/>
          <w:szCs w:val="24"/>
        </w:rPr>
        <w:t>Nach § 1868 Abs. 5</w:t>
      </w:r>
      <w:r w:rsidR="00483CCF">
        <w:rPr>
          <w:sz w:val="24"/>
          <w:szCs w:val="24"/>
        </w:rPr>
        <w:t xml:space="preserve"> BGB kann das Gericht den Betreuer entlassen, wenn der Betreute einen anderen, für die Führung der Betreuung ebenso geeigneten Betreuer, vorschlägt. Im hiesigen Fall hatte Frau Reiter in ihrem Schreiben Frau Wolf für die Betreuung vorgeschlagen. Da Frau Wolf mindestens ebenso geeignet war wie Herr Hell hatte das Gericht nach pflichtgemäßem Ermessen über die Entlassung des Herrn Hell zu entscheiden und hat sich für sie entschieden.</w:t>
      </w:r>
    </w:p>
    <w:p w:rsidR="00CA525E" w:rsidRDefault="00DC3DAF">
      <w:pPr>
        <w:rPr>
          <w:sz w:val="24"/>
          <w:szCs w:val="24"/>
        </w:rPr>
      </w:pPr>
      <w:r>
        <w:rPr>
          <w:sz w:val="24"/>
          <w:szCs w:val="24"/>
        </w:rPr>
        <w:t>Nach § 1869</w:t>
      </w:r>
      <w:r w:rsidR="00CA525E">
        <w:rPr>
          <w:sz w:val="24"/>
          <w:szCs w:val="24"/>
        </w:rPr>
        <w:t xml:space="preserve"> BGB musste das Gericht einen anderen Betreuer bestellen, was im Falle einer Entlassung nach § </w:t>
      </w:r>
      <w:r>
        <w:rPr>
          <w:sz w:val="24"/>
          <w:szCs w:val="24"/>
        </w:rPr>
        <w:t>1868 Abs.5</w:t>
      </w:r>
      <w:r w:rsidR="00CA525E">
        <w:rPr>
          <w:sz w:val="24"/>
          <w:szCs w:val="24"/>
        </w:rPr>
        <w:t xml:space="preserve"> BGB nur die Vorgeschlagene sein kann.</w:t>
      </w:r>
    </w:p>
    <w:p w:rsidR="00CA525E" w:rsidRDefault="00CA525E">
      <w:pPr>
        <w:rPr>
          <w:sz w:val="24"/>
          <w:szCs w:val="24"/>
        </w:rPr>
      </w:pPr>
      <w:r>
        <w:rPr>
          <w:sz w:val="24"/>
          <w:szCs w:val="24"/>
        </w:rPr>
        <w:t xml:space="preserve">§ 15 Abs. 1 Nr. 1 </w:t>
      </w:r>
      <w:proofErr w:type="spellStart"/>
      <w:r>
        <w:rPr>
          <w:sz w:val="24"/>
          <w:szCs w:val="24"/>
        </w:rPr>
        <w:t>RpflG</w:t>
      </w:r>
      <w:proofErr w:type="spellEnd"/>
      <w:r>
        <w:rPr>
          <w:sz w:val="24"/>
          <w:szCs w:val="24"/>
        </w:rPr>
        <w:t xml:space="preserve"> behält nur Betreuerwechsel aufgrund von </w:t>
      </w:r>
      <w:r w:rsidR="00DC3DAF">
        <w:rPr>
          <w:sz w:val="24"/>
          <w:szCs w:val="24"/>
        </w:rPr>
        <w:t xml:space="preserve">1868 Abs. 1 -4 </w:t>
      </w:r>
      <w:r>
        <w:rPr>
          <w:sz w:val="24"/>
          <w:szCs w:val="24"/>
        </w:rPr>
        <w:t xml:space="preserve">und </w:t>
      </w:r>
      <w:r w:rsidR="00DC3DAF">
        <w:rPr>
          <w:sz w:val="24"/>
          <w:szCs w:val="24"/>
        </w:rPr>
        <w:t>7</w:t>
      </w:r>
      <w:r>
        <w:rPr>
          <w:sz w:val="24"/>
          <w:szCs w:val="24"/>
        </w:rPr>
        <w:t xml:space="preserve"> BGB dem Richter vor, so dass für Betreuerwechsel aufgrund von </w:t>
      </w:r>
      <w:r w:rsidR="00DC3DAF">
        <w:rPr>
          <w:sz w:val="24"/>
          <w:szCs w:val="24"/>
        </w:rPr>
        <w:t xml:space="preserve">1868 </w:t>
      </w:r>
      <w:r w:rsidR="005369D2">
        <w:rPr>
          <w:sz w:val="24"/>
          <w:szCs w:val="24"/>
        </w:rPr>
        <w:t>Abs.</w:t>
      </w:r>
      <w:proofErr w:type="gramStart"/>
      <w:r w:rsidR="005369D2">
        <w:rPr>
          <w:sz w:val="24"/>
          <w:szCs w:val="24"/>
        </w:rPr>
        <w:t>5</w:t>
      </w:r>
      <w:r w:rsidR="00DC3DAF">
        <w:rPr>
          <w:sz w:val="24"/>
          <w:szCs w:val="24"/>
        </w:rPr>
        <w:t xml:space="preserve"> </w:t>
      </w:r>
      <w:r>
        <w:rPr>
          <w:sz w:val="24"/>
          <w:szCs w:val="24"/>
        </w:rPr>
        <w:t xml:space="preserve"> BGB</w:t>
      </w:r>
      <w:proofErr w:type="gramEnd"/>
      <w:r>
        <w:rPr>
          <w:sz w:val="24"/>
          <w:szCs w:val="24"/>
        </w:rPr>
        <w:t xml:space="preserve"> der Rechtspfleger zuständig ist.</w:t>
      </w:r>
    </w:p>
    <w:p w:rsidR="00215E76" w:rsidRDefault="00215E76">
      <w:pPr>
        <w:rPr>
          <w:sz w:val="24"/>
          <w:szCs w:val="24"/>
        </w:rPr>
      </w:pPr>
    </w:p>
    <w:p w:rsidR="00215E76" w:rsidRPr="003C77CB" w:rsidRDefault="00215E76">
      <w:pPr>
        <w:rPr>
          <w:b/>
          <w:sz w:val="24"/>
          <w:szCs w:val="24"/>
        </w:rPr>
      </w:pPr>
      <w:r w:rsidRPr="003C77CB">
        <w:rPr>
          <w:b/>
          <w:sz w:val="24"/>
          <w:szCs w:val="24"/>
        </w:rPr>
        <w:t>Lösung Frage 3:</w:t>
      </w:r>
    </w:p>
    <w:p w:rsidR="00215E76" w:rsidRDefault="00215E76">
      <w:pPr>
        <w:rPr>
          <w:sz w:val="24"/>
          <w:szCs w:val="24"/>
        </w:rPr>
      </w:pPr>
    </w:p>
    <w:p w:rsidR="00082F5B" w:rsidRDefault="00215E76">
      <w:pPr>
        <w:rPr>
          <w:sz w:val="24"/>
          <w:szCs w:val="24"/>
        </w:rPr>
      </w:pPr>
      <w:r>
        <w:rPr>
          <w:sz w:val="24"/>
          <w:szCs w:val="24"/>
        </w:rPr>
        <w:t xml:space="preserve">Die Geltendmachung von Ansprüchen gegen den entlassenen Betreuer müsste zu den „Vermögensangelegenheiten“ gehören, da Frau Wolf Frau Reiter nur im Rahmen dieses </w:t>
      </w:r>
      <w:r w:rsidR="00082F5B">
        <w:rPr>
          <w:sz w:val="24"/>
          <w:szCs w:val="24"/>
        </w:rPr>
        <w:t xml:space="preserve">Aufgabenkreises gesetzlich vertreten kann (§ </w:t>
      </w:r>
      <w:r w:rsidR="00A96A81">
        <w:rPr>
          <w:sz w:val="24"/>
          <w:szCs w:val="24"/>
        </w:rPr>
        <w:t>1823</w:t>
      </w:r>
      <w:r w:rsidR="00082F5B">
        <w:rPr>
          <w:sz w:val="24"/>
          <w:szCs w:val="24"/>
        </w:rPr>
        <w:t xml:space="preserve"> BGB). Dies ist hier der Fall, da der Schadenersatzanspruch zu den Vermögenswerten gehört und die Vermögensverwaltung zu den Aufgaben des früheren Betreuers gehörte.</w:t>
      </w:r>
    </w:p>
    <w:p w:rsidR="00215E76" w:rsidRDefault="00082F5B">
      <w:pPr>
        <w:rPr>
          <w:sz w:val="24"/>
          <w:szCs w:val="24"/>
        </w:rPr>
      </w:pPr>
      <w:r>
        <w:rPr>
          <w:sz w:val="24"/>
          <w:szCs w:val="24"/>
        </w:rPr>
        <w:t xml:space="preserve">Besteht überhaupt ein Schadenersatzanspruch? Dieser könnte sich aus </w:t>
      </w:r>
      <w:r w:rsidR="00805D98">
        <w:rPr>
          <w:sz w:val="24"/>
          <w:szCs w:val="24"/>
        </w:rPr>
        <w:t>§</w:t>
      </w:r>
      <w:r>
        <w:rPr>
          <w:sz w:val="24"/>
          <w:szCs w:val="24"/>
        </w:rPr>
        <w:t xml:space="preserve"> 18</w:t>
      </w:r>
      <w:r w:rsidR="00805D98">
        <w:rPr>
          <w:sz w:val="24"/>
          <w:szCs w:val="24"/>
        </w:rPr>
        <w:t>26</w:t>
      </w:r>
      <w:r>
        <w:rPr>
          <w:sz w:val="24"/>
          <w:szCs w:val="24"/>
        </w:rPr>
        <w:t xml:space="preserve"> Abs. 1 S.1 BGB ergeben. Herr Hell müsste dann pflichtwidrig gehandelt haben und durch dieses Handeln Frau Reiter Schaden zugefügt haben. Als Schaden würde gem. § </w:t>
      </w:r>
      <w:proofErr w:type="gramStart"/>
      <w:r>
        <w:rPr>
          <w:sz w:val="24"/>
          <w:szCs w:val="24"/>
        </w:rPr>
        <w:t>252  BGB</w:t>
      </w:r>
      <w:proofErr w:type="gramEnd"/>
      <w:r>
        <w:rPr>
          <w:sz w:val="24"/>
          <w:szCs w:val="24"/>
        </w:rPr>
        <w:t xml:space="preserve"> auch ein Gewinn in Betracht kommen, der </w:t>
      </w:r>
      <w:r w:rsidRPr="00082F5B">
        <w:rPr>
          <w:sz w:val="24"/>
          <w:szCs w:val="24"/>
        </w:rPr>
        <w:t>Frau Reiter</w:t>
      </w:r>
      <w:r>
        <w:rPr>
          <w:sz w:val="24"/>
          <w:szCs w:val="24"/>
        </w:rPr>
        <w:t xml:space="preserve"> aufgrund der Pflichtwidrigkeit entgangen ist.</w:t>
      </w:r>
    </w:p>
    <w:p w:rsidR="00082F5B" w:rsidRDefault="00082F5B">
      <w:pPr>
        <w:rPr>
          <w:sz w:val="24"/>
          <w:szCs w:val="24"/>
        </w:rPr>
      </w:pPr>
      <w:r>
        <w:rPr>
          <w:sz w:val="24"/>
          <w:szCs w:val="24"/>
        </w:rPr>
        <w:lastRenderedPageBreak/>
        <w:t>Hat Herr Hell überhaupt pflichtwidrig gehandelt? Dies ist anhand der für Betreuer geltenden Verhaltenskriterien nach</w:t>
      </w:r>
      <w:r w:rsidR="00384F43">
        <w:rPr>
          <w:sz w:val="24"/>
          <w:szCs w:val="24"/>
        </w:rPr>
        <w:t xml:space="preserve"> § 1</w:t>
      </w:r>
      <w:r w:rsidR="00805D98">
        <w:rPr>
          <w:sz w:val="24"/>
          <w:szCs w:val="24"/>
        </w:rPr>
        <w:t>821</w:t>
      </w:r>
      <w:r w:rsidR="00384F43">
        <w:rPr>
          <w:sz w:val="24"/>
          <w:szCs w:val="24"/>
        </w:rPr>
        <w:t xml:space="preserve"> BGB zu beurteilen.</w:t>
      </w:r>
    </w:p>
    <w:p w:rsidR="00384F43" w:rsidRDefault="00384F43">
      <w:pPr>
        <w:rPr>
          <w:sz w:val="24"/>
          <w:szCs w:val="24"/>
        </w:rPr>
      </w:pPr>
      <w:r>
        <w:rPr>
          <w:sz w:val="24"/>
          <w:szCs w:val="24"/>
        </w:rPr>
        <w:t>Gemäß § 1</w:t>
      </w:r>
      <w:r w:rsidR="00805D98">
        <w:rPr>
          <w:sz w:val="24"/>
          <w:szCs w:val="24"/>
        </w:rPr>
        <w:t>821 Abs. 1</w:t>
      </w:r>
      <w:r>
        <w:rPr>
          <w:sz w:val="24"/>
          <w:szCs w:val="24"/>
        </w:rPr>
        <w:t xml:space="preserve"> S. 1 BGB hat ein Betreuer nach dem Wohl des Betreute</w:t>
      </w:r>
      <w:r w:rsidR="00805D98">
        <w:rPr>
          <w:sz w:val="24"/>
          <w:szCs w:val="24"/>
        </w:rPr>
        <w:t>n zu handeln. Nach § 1</w:t>
      </w:r>
      <w:r w:rsidR="00984865">
        <w:rPr>
          <w:sz w:val="24"/>
          <w:szCs w:val="24"/>
        </w:rPr>
        <w:t>821</w:t>
      </w:r>
      <w:bookmarkStart w:id="0" w:name="_GoBack"/>
      <w:bookmarkEnd w:id="0"/>
      <w:r w:rsidR="00805D98">
        <w:rPr>
          <w:sz w:val="24"/>
          <w:szCs w:val="24"/>
        </w:rPr>
        <w:t xml:space="preserve"> Abs. 2</w:t>
      </w:r>
      <w:r>
        <w:rPr>
          <w:sz w:val="24"/>
          <w:szCs w:val="24"/>
        </w:rPr>
        <w:t xml:space="preserve"> BGB hat er außerdem Wünsche des Betreuten zu beachten, solange sie seinem Wohl nicht zuwiderlaufen. Frau Reiter hatte den Wunsch geäußert, dass ihre Wohnung nicht vermietet wird. Hierbei handelte es sich </w:t>
      </w:r>
      <w:r w:rsidRPr="00384F43">
        <w:rPr>
          <w:b/>
          <w:sz w:val="24"/>
          <w:szCs w:val="24"/>
        </w:rPr>
        <w:t>nicht</w:t>
      </w:r>
      <w:r>
        <w:rPr>
          <w:b/>
          <w:sz w:val="24"/>
          <w:szCs w:val="24"/>
        </w:rPr>
        <w:t xml:space="preserve"> um ihren freien Willen</w:t>
      </w:r>
      <w:r w:rsidRPr="00384F43">
        <w:rPr>
          <w:sz w:val="24"/>
          <w:szCs w:val="24"/>
        </w:rPr>
        <w:t>,</w:t>
      </w:r>
      <w:r>
        <w:rPr>
          <w:sz w:val="24"/>
          <w:szCs w:val="24"/>
        </w:rPr>
        <w:t xml:space="preserve"> denn ihr Wunsch war von dem offensichtlich krankheitsbedingten Wahn beeinflusst, das Haus sei verwünscht und jeder Bewohner müsse früh sterben. Jedoch muss auch ein nicht frei gebildeter Wille eines Betreuten nach § 1</w:t>
      </w:r>
      <w:r w:rsidR="00805D98">
        <w:rPr>
          <w:sz w:val="24"/>
          <w:szCs w:val="24"/>
        </w:rPr>
        <w:t>821 Abs. 4</w:t>
      </w:r>
      <w:r>
        <w:rPr>
          <w:sz w:val="24"/>
          <w:szCs w:val="24"/>
        </w:rPr>
        <w:t xml:space="preserve"> S. 1 BGB berücksichtigt werden, wenn er seinem Wohl nicht zuwiderläuft.</w:t>
      </w:r>
    </w:p>
    <w:p w:rsidR="00384F43" w:rsidRDefault="00384F43">
      <w:pPr>
        <w:rPr>
          <w:sz w:val="24"/>
          <w:szCs w:val="24"/>
        </w:rPr>
      </w:pPr>
      <w:r>
        <w:rPr>
          <w:sz w:val="24"/>
          <w:szCs w:val="24"/>
        </w:rPr>
        <w:t>Hätte das Wohl von Frau Reiter die Vermietung der Wohnung erfordert? Aus vermögensrechtlicher Blickweise wäre dies zu bejahen</w:t>
      </w:r>
      <w:r w:rsidR="00A773B5">
        <w:rPr>
          <w:sz w:val="24"/>
          <w:szCs w:val="24"/>
        </w:rPr>
        <w:t xml:space="preserve">, da sie durch die Nichtvermietung nichts gewann, verlor aber, bei weiterlaufenden Kosten, die Einnahmen aus einer Vermietung. </w:t>
      </w:r>
    </w:p>
    <w:p w:rsidR="00A773B5" w:rsidRDefault="00A773B5">
      <w:pPr>
        <w:rPr>
          <w:sz w:val="24"/>
          <w:szCs w:val="24"/>
        </w:rPr>
      </w:pPr>
      <w:r>
        <w:rPr>
          <w:sz w:val="24"/>
          <w:szCs w:val="24"/>
        </w:rPr>
        <w:t>Dagegen steht: Vermögen, das für die freie Lebensgestaltung nicht benötigt wird, ist für das Wohl des Betreuten auch nicht erforderlich. Es gehört nicht zu den Pflichten des Betreuers, das Vermögen des Betreuten zum Wohl der Erben zu mehren und zu erhalten.</w:t>
      </w:r>
    </w:p>
    <w:p w:rsidR="00A773B5" w:rsidRDefault="00A773B5">
      <w:pPr>
        <w:rPr>
          <w:sz w:val="24"/>
          <w:szCs w:val="24"/>
        </w:rPr>
      </w:pPr>
      <w:r>
        <w:rPr>
          <w:sz w:val="24"/>
          <w:szCs w:val="24"/>
        </w:rPr>
        <w:t xml:space="preserve">Dennoch muss ein Betreuer nicht jedem Wunsch des Betreuten folgen, solange dieser es sich leisten kann. Der Betreuer hat stets zu prüfen, ob der Betreute von zutreffenden Tatsachen ausgeht und muss ihn gegebenenfalls über die Tatsachenlage aufklären (sofern dies möglich ist). </w:t>
      </w:r>
      <w:r w:rsidR="003C77CB">
        <w:rPr>
          <w:sz w:val="24"/>
          <w:szCs w:val="24"/>
        </w:rPr>
        <w:t>Würde der Betreute in Kenntnis der reellen Sachlage so entscheiden?</w:t>
      </w:r>
    </w:p>
    <w:p w:rsidR="003C77CB" w:rsidRDefault="003C77CB">
      <w:pPr>
        <w:rPr>
          <w:sz w:val="24"/>
          <w:szCs w:val="24"/>
        </w:rPr>
      </w:pPr>
      <w:r>
        <w:rPr>
          <w:sz w:val="24"/>
          <w:szCs w:val="24"/>
        </w:rPr>
        <w:t>Hätte Frau Reiter also auch so entschieden, wenn sie hätte erkennen können, dass in diesem Haus keine „bösen Mächte“ walten und den potentiellen Mietern kein Unheil droht?</w:t>
      </w:r>
    </w:p>
    <w:p w:rsidR="003C77CB" w:rsidRPr="00082F5B" w:rsidRDefault="003C77CB">
      <w:pPr>
        <w:rPr>
          <w:b/>
          <w:sz w:val="24"/>
          <w:szCs w:val="24"/>
        </w:rPr>
      </w:pPr>
      <w:r>
        <w:rPr>
          <w:sz w:val="24"/>
          <w:szCs w:val="24"/>
        </w:rPr>
        <w:t xml:space="preserve">Das ist </w:t>
      </w:r>
      <w:r w:rsidR="006A1942">
        <w:rPr>
          <w:sz w:val="24"/>
          <w:szCs w:val="24"/>
        </w:rPr>
        <w:t>unwahrscheinlich, zur</w:t>
      </w:r>
      <w:r>
        <w:rPr>
          <w:sz w:val="24"/>
          <w:szCs w:val="24"/>
        </w:rPr>
        <w:t xml:space="preserve"> Wahrung von Frau Reiters Vermögensinteressen hätte sich Herr Hell über ihren Wunsch hinwegsetzen müssen. Er schuldet ihr demnach Schadenersatz in Höhe der entgangenen Mieteinnahmen aus §§ 1833 Abs. 1 S. 1</w:t>
      </w:r>
      <w:r w:rsidR="00805D98">
        <w:rPr>
          <w:sz w:val="24"/>
          <w:szCs w:val="24"/>
        </w:rPr>
        <w:t xml:space="preserve">, 1821 Abs.4 S.1 u. </w:t>
      </w:r>
      <w:proofErr w:type="gramStart"/>
      <w:r w:rsidR="00805D98">
        <w:rPr>
          <w:sz w:val="24"/>
          <w:szCs w:val="24"/>
        </w:rPr>
        <w:t>2</w:t>
      </w:r>
      <w:r>
        <w:rPr>
          <w:sz w:val="24"/>
          <w:szCs w:val="24"/>
        </w:rPr>
        <w:t xml:space="preserve"> ,</w:t>
      </w:r>
      <w:proofErr w:type="gramEnd"/>
      <w:r>
        <w:rPr>
          <w:sz w:val="24"/>
          <w:szCs w:val="24"/>
        </w:rPr>
        <w:t xml:space="preserve"> 252 BGB.</w:t>
      </w:r>
    </w:p>
    <w:sectPr w:rsidR="003C77CB" w:rsidRPr="00082F5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CCF"/>
    <w:rsid w:val="000533BA"/>
    <w:rsid w:val="00082F5B"/>
    <w:rsid w:val="00215E76"/>
    <w:rsid w:val="002B45F0"/>
    <w:rsid w:val="00384F43"/>
    <w:rsid w:val="003C77CB"/>
    <w:rsid w:val="00483CCF"/>
    <w:rsid w:val="004A757E"/>
    <w:rsid w:val="005369D2"/>
    <w:rsid w:val="006A1942"/>
    <w:rsid w:val="00805D98"/>
    <w:rsid w:val="00954BBF"/>
    <w:rsid w:val="00984865"/>
    <w:rsid w:val="00A773B5"/>
    <w:rsid w:val="00A96A81"/>
    <w:rsid w:val="00CA525E"/>
    <w:rsid w:val="00DC3D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0E855"/>
  <w15:chartTrackingRefBased/>
  <w15:docId w15:val="{D5C82C1F-2A3C-4403-9F91-40836BA9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A194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A19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3541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Neuendorf-Schulz, Simone</cp:lastModifiedBy>
  <cp:revision>7</cp:revision>
  <cp:lastPrinted>2023-01-25T05:29:00Z</cp:lastPrinted>
  <dcterms:created xsi:type="dcterms:W3CDTF">2021-11-08T08:19:00Z</dcterms:created>
  <dcterms:modified xsi:type="dcterms:W3CDTF">2024-03-04T08:28:00Z</dcterms:modified>
</cp:coreProperties>
</file>