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27" w:rsidRDefault="00E244C3" w:rsidP="001E17B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Stellen Sie für den jeweiligen Sachverhalt fest welche Rechtsbehelfs- bzw. Rechtsmittelfrist besteht. </w:t>
      </w:r>
      <w:r w:rsidR="00DA7F8F">
        <w:rPr>
          <w:rFonts w:ascii="Arial" w:hAnsi="Arial" w:cs="Arial"/>
          <w:b/>
          <w:sz w:val="22"/>
        </w:rPr>
        <w:t xml:space="preserve">Berechnen Sie die Notfrist und stellen Sie fest </w:t>
      </w:r>
      <w:r w:rsidR="0072615A">
        <w:rPr>
          <w:rFonts w:ascii="Arial" w:hAnsi="Arial" w:cs="Arial"/>
          <w:b/>
          <w:sz w:val="22"/>
        </w:rPr>
        <w:t>o</w:t>
      </w:r>
      <w:r w:rsidR="00DA7F8F">
        <w:rPr>
          <w:rFonts w:ascii="Arial" w:hAnsi="Arial" w:cs="Arial"/>
          <w:b/>
          <w:sz w:val="22"/>
        </w:rPr>
        <w:t>b</w:t>
      </w:r>
      <w:r w:rsidR="0072615A">
        <w:rPr>
          <w:rFonts w:ascii="Arial" w:hAnsi="Arial" w:cs="Arial"/>
          <w:b/>
          <w:sz w:val="22"/>
        </w:rPr>
        <w:t xml:space="preserve"> bzw. wann</w:t>
      </w:r>
      <w:r w:rsidR="00DA7F8F">
        <w:rPr>
          <w:rFonts w:ascii="Arial" w:hAnsi="Arial" w:cs="Arial"/>
          <w:b/>
          <w:sz w:val="22"/>
        </w:rPr>
        <w:t xml:space="preserve"> die jeweilige Entschei</w:t>
      </w:r>
      <w:r w:rsidR="001E17BB">
        <w:rPr>
          <w:rFonts w:ascii="Arial" w:hAnsi="Arial" w:cs="Arial"/>
          <w:b/>
          <w:sz w:val="22"/>
        </w:rPr>
        <w:t>dung rechtskräftig geworden ist.</w:t>
      </w:r>
    </w:p>
    <w:p w:rsidR="00F2505E" w:rsidRDefault="00F2505E" w:rsidP="001E17BB">
      <w:pPr>
        <w:jc w:val="center"/>
        <w:rPr>
          <w:rFonts w:ascii="Arial" w:hAnsi="Arial" w:cs="Arial"/>
          <w:sz w:val="22"/>
        </w:rPr>
      </w:pPr>
    </w:p>
    <w:p w:rsidR="0072615A" w:rsidRDefault="00DA7F8F" w:rsidP="00FD144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E17BB">
        <w:rPr>
          <w:rFonts w:ascii="Arial" w:hAnsi="Arial" w:cs="Arial"/>
          <w:sz w:val="22"/>
        </w:rPr>
        <w:t>Rechtsanwalt Krause beantragt, für seinen Mandanten Herrn Grün, einen Mahnbescheid beim Amtsgericht Wedding. Der Mahnbescheid wird antragsgemäß erlassen und an die Antragsgegnerin Frau Ming am 13.04.2023 zugestellt.</w:t>
      </w:r>
    </w:p>
    <w:p w:rsidR="001E17BB" w:rsidRPr="001E17BB" w:rsidRDefault="001E17BB" w:rsidP="001E17BB">
      <w:pPr>
        <w:pStyle w:val="Listenabsatz"/>
        <w:jc w:val="both"/>
        <w:rPr>
          <w:rFonts w:ascii="Arial" w:hAnsi="Arial" w:cs="Arial"/>
          <w:sz w:val="22"/>
        </w:rPr>
      </w:pPr>
    </w:p>
    <w:p w:rsidR="0072615A" w:rsidRDefault="0072615A" w:rsidP="0072615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Frau Weiß verklagt Herrn Gatow auf Zahlung einer Forderung in Höhe von 2.000 EUR.</w:t>
      </w:r>
    </w:p>
    <w:p w:rsidR="0072615A" w:rsidRDefault="0072615A" w:rsidP="0072615A">
      <w:pPr>
        <w:pStyle w:val="Listenabsatz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Termin</w:t>
      </w:r>
      <w:r w:rsidR="00405943">
        <w:rPr>
          <w:rFonts w:ascii="Arial" w:hAnsi="Arial" w:cs="Arial"/>
          <w:sz w:val="22"/>
        </w:rPr>
        <w:t>, vor dem Amtsgericht Charlottenburg,</w:t>
      </w:r>
      <w:r>
        <w:rPr>
          <w:rFonts w:ascii="Arial" w:hAnsi="Arial" w:cs="Arial"/>
          <w:sz w:val="22"/>
        </w:rPr>
        <w:t xml:space="preserve"> ergeht gegen Herrn Gatow ein Versäumnisurteil, da er nicht erschienen ist.</w:t>
      </w:r>
    </w:p>
    <w:p w:rsidR="00405943" w:rsidRDefault="0072615A" w:rsidP="001E17BB">
      <w:pPr>
        <w:pStyle w:val="Listenabsatz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Versäumnisurteil wird Herrn Gatow am 08.04.2023 zugestellt. Der von ihm eingelegte Einspruch geht am 25.04.2023 beim zuständigen Gericht ein.</w:t>
      </w:r>
    </w:p>
    <w:p w:rsidR="00405943" w:rsidRDefault="00405943" w:rsidP="00405943">
      <w:pPr>
        <w:jc w:val="both"/>
        <w:rPr>
          <w:rFonts w:ascii="Arial" w:hAnsi="Arial" w:cs="Arial"/>
          <w:sz w:val="22"/>
        </w:rPr>
      </w:pPr>
    </w:p>
    <w:p w:rsidR="00405943" w:rsidRDefault="00405943" w:rsidP="0040594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 04.03.2023 wird ein Urteil des Amtsgericht Köpenick dem Beklagten Herrn Bloom</w:t>
      </w:r>
    </w:p>
    <w:p w:rsidR="00405943" w:rsidRDefault="00405943" w:rsidP="001E17BB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zugestellt. Herr Bloom legt, vertreten durch Rechtsanwalt Herrn Ernst, Berufung beim Landgericht Berlin ein. Die Berufung wird von Rechtsanwalt Ernst persönlich in den Briefkasten am Landgericht, am 30.03.2023, eingeworfen.</w:t>
      </w:r>
    </w:p>
    <w:p w:rsidR="00405943" w:rsidRDefault="00405943" w:rsidP="00405943">
      <w:pPr>
        <w:jc w:val="both"/>
        <w:rPr>
          <w:rFonts w:ascii="Arial" w:hAnsi="Arial" w:cs="Arial"/>
          <w:sz w:val="22"/>
        </w:rPr>
      </w:pPr>
    </w:p>
    <w:p w:rsidR="00C953C4" w:rsidRPr="001E17BB" w:rsidRDefault="00C953C4" w:rsidP="005464F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E17BB">
        <w:rPr>
          <w:rFonts w:ascii="Arial" w:hAnsi="Arial" w:cs="Arial"/>
          <w:sz w:val="22"/>
        </w:rPr>
        <w:t xml:space="preserve">Nachdem das Urteil des Amtsgerichts Pankow dem Prozessbevollmächtigten </w:t>
      </w:r>
      <w:proofErr w:type="gramStart"/>
      <w:r w:rsidRPr="001E17BB">
        <w:rPr>
          <w:rFonts w:ascii="Arial" w:hAnsi="Arial" w:cs="Arial"/>
          <w:sz w:val="22"/>
        </w:rPr>
        <w:t>der  Beklagten</w:t>
      </w:r>
      <w:proofErr w:type="gramEnd"/>
      <w:r w:rsidRPr="001E17BB">
        <w:rPr>
          <w:rFonts w:ascii="Arial" w:hAnsi="Arial" w:cs="Arial"/>
          <w:sz w:val="22"/>
        </w:rPr>
        <w:t xml:space="preserve"> Frau Braun am 16.03.2023 zugestellt wurde, legt dieser am 14.04.2023 Berufung ein. Die Berufung geht am selben Tag beim Landgericht ein.</w:t>
      </w:r>
    </w:p>
    <w:p w:rsidR="00C953C4" w:rsidRDefault="00C953C4" w:rsidP="00C953C4">
      <w:pPr>
        <w:jc w:val="both"/>
        <w:rPr>
          <w:rFonts w:ascii="Arial" w:hAnsi="Arial" w:cs="Arial"/>
          <w:sz w:val="22"/>
        </w:rPr>
      </w:pPr>
    </w:p>
    <w:p w:rsidR="00405943" w:rsidRDefault="00C953C4" w:rsidP="00C953C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Beklagte Herr Rot legt Einspruch gegen das Versäumnisurteil des Amtsgerichts Spandau ein. Der Einspruch geht am 2</w:t>
      </w:r>
      <w:r w:rsidR="00444E0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.04.2023 beim Amtsgericht Spandau ein. </w:t>
      </w:r>
      <w:r w:rsidR="00E244C3">
        <w:rPr>
          <w:rFonts w:ascii="Arial" w:hAnsi="Arial" w:cs="Arial"/>
          <w:sz w:val="22"/>
        </w:rPr>
        <w:t xml:space="preserve">Er </w:t>
      </w:r>
      <w:r>
        <w:rPr>
          <w:rFonts w:ascii="Arial" w:hAnsi="Arial" w:cs="Arial"/>
          <w:sz w:val="22"/>
        </w:rPr>
        <w:t>wurde</w:t>
      </w:r>
      <w:r w:rsidR="00E244C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zur Zahlung einer Forderungssumme von 1.800 EUR ver</w:t>
      </w:r>
      <w:r w:rsidR="00E244C3">
        <w:rPr>
          <w:rFonts w:ascii="Arial" w:hAnsi="Arial" w:cs="Arial"/>
          <w:sz w:val="22"/>
        </w:rPr>
        <w:t>urteilt</w:t>
      </w:r>
      <w:r>
        <w:rPr>
          <w:rFonts w:ascii="Arial" w:hAnsi="Arial" w:cs="Arial"/>
          <w:sz w:val="22"/>
        </w:rPr>
        <w:t>. Das Versäumnisurteil wurde ihm am 1</w:t>
      </w:r>
      <w:r w:rsidR="00444E0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.04.2023 zugestellt.</w:t>
      </w:r>
      <w:r w:rsidRPr="00C953C4">
        <w:rPr>
          <w:rFonts w:ascii="Arial" w:hAnsi="Arial" w:cs="Arial"/>
          <w:sz w:val="22"/>
        </w:rPr>
        <w:t xml:space="preserve">  </w:t>
      </w:r>
    </w:p>
    <w:p w:rsidR="00444E06" w:rsidRPr="001E17BB" w:rsidRDefault="00444E06" w:rsidP="001E17BB">
      <w:pPr>
        <w:pStyle w:val="Listenabsatz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"/>
        <w:gridCol w:w="582"/>
        <w:gridCol w:w="582"/>
        <w:gridCol w:w="582"/>
        <w:gridCol w:w="582"/>
        <w:gridCol w:w="582"/>
        <w:gridCol w:w="585"/>
      </w:tblGrid>
      <w:tr w:rsidR="001E17BB" w:rsidTr="00444E06">
        <w:trPr>
          <w:trHeight w:val="378"/>
        </w:trPr>
        <w:tc>
          <w:tcPr>
            <w:tcW w:w="4076" w:type="dxa"/>
            <w:gridSpan w:val="7"/>
          </w:tcPr>
          <w:p w:rsidR="001E17BB" w:rsidRPr="00444E06" w:rsidRDefault="001E17BB" w:rsidP="001E17B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44E06">
              <w:rPr>
                <w:rFonts w:ascii="Arial" w:hAnsi="Arial" w:cs="Arial"/>
                <w:b/>
                <w:sz w:val="22"/>
              </w:rPr>
              <w:t>April 2023</w:t>
            </w:r>
          </w:p>
        </w:tc>
      </w:tr>
      <w:tr w:rsidR="001E17BB" w:rsidTr="00444E06">
        <w:trPr>
          <w:trHeight w:val="378"/>
        </w:trPr>
        <w:tc>
          <w:tcPr>
            <w:tcW w:w="581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</w:t>
            </w: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</w:t>
            </w: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</w:t>
            </w: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</w:t>
            </w: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</w:t>
            </w:r>
          </w:p>
        </w:tc>
      </w:tr>
      <w:tr w:rsidR="001E17BB" w:rsidTr="00444E06">
        <w:trPr>
          <w:trHeight w:val="379"/>
        </w:trPr>
        <w:tc>
          <w:tcPr>
            <w:tcW w:w="581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2" w:type="dxa"/>
          </w:tcPr>
          <w:p w:rsidR="001E17BB" w:rsidRDefault="001E17BB" w:rsidP="001E17B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1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2</w:t>
            </w:r>
          </w:p>
        </w:tc>
      </w:tr>
      <w:tr w:rsidR="001E17BB" w:rsidTr="00444E06">
        <w:trPr>
          <w:trHeight w:val="378"/>
        </w:trPr>
        <w:tc>
          <w:tcPr>
            <w:tcW w:w="581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3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4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5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6 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7</w:t>
            </w:r>
            <w:r w:rsidR="00484118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8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9</w:t>
            </w:r>
          </w:p>
        </w:tc>
      </w:tr>
      <w:tr w:rsidR="001E17BB" w:rsidTr="00444E06">
        <w:trPr>
          <w:trHeight w:val="379"/>
        </w:trPr>
        <w:tc>
          <w:tcPr>
            <w:tcW w:w="581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484118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82" w:type="dxa"/>
          </w:tcPr>
          <w:p w:rsidR="001E17BB" w:rsidRDefault="00444E06" w:rsidP="00444E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</w:tr>
      <w:tr w:rsidR="001E17BB" w:rsidTr="00444E06">
        <w:trPr>
          <w:trHeight w:val="378"/>
        </w:trPr>
        <w:tc>
          <w:tcPr>
            <w:tcW w:w="581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</w:p>
        </w:tc>
      </w:tr>
      <w:tr w:rsidR="001E17BB" w:rsidTr="00444E06">
        <w:trPr>
          <w:trHeight w:val="379"/>
        </w:trPr>
        <w:tc>
          <w:tcPr>
            <w:tcW w:w="581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82" w:type="dxa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1E17BB" w:rsidRDefault="00444E06" w:rsidP="001E17B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</w:tbl>
    <w:p w:rsidR="00DA7F8F" w:rsidRPr="00484118" w:rsidRDefault="00484118" w:rsidP="00DA7F8F">
      <w:pPr>
        <w:pStyle w:val="Listenabsatz"/>
        <w:jc w:val="both"/>
        <w:rPr>
          <w:rFonts w:ascii="Arial" w:hAnsi="Arial" w:cs="Arial"/>
          <w:sz w:val="18"/>
          <w:szCs w:val="18"/>
        </w:rPr>
      </w:pPr>
      <w:r w:rsidRPr="00484118">
        <w:rPr>
          <w:rFonts w:ascii="Arial" w:hAnsi="Arial" w:cs="Arial"/>
          <w:sz w:val="18"/>
          <w:szCs w:val="18"/>
        </w:rPr>
        <w:t>*grau unterlegte Tage sind Wochenenden oder Feiertage</w:t>
      </w:r>
    </w:p>
    <w:p w:rsidR="00543D6D" w:rsidRDefault="00543D6D" w:rsidP="00543D6D">
      <w:pPr>
        <w:jc w:val="both"/>
        <w:rPr>
          <w:rFonts w:ascii="Arial" w:hAnsi="Arial" w:cs="Arial"/>
          <w:sz w:val="22"/>
        </w:rPr>
      </w:pPr>
    </w:p>
    <w:p w:rsidR="00E244C3" w:rsidRPr="00E244C3" w:rsidRDefault="00543D6D" w:rsidP="00E244C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E244C3">
        <w:rPr>
          <w:rFonts w:ascii="Arial" w:hAnsi="Arial" w:cs="Arial"/>
          <w:sz w:val="22"/>
        </w:rPr>
        <w:br w:type="page"/>
      </w:r>
      <w:r w:rsidR="00E244C3" w:rsidRPr="00E244C3">
        <w:rPr>
          <w:rFonts w:ascii="Arial" w:hAnsi="Arial" w:cs="Arial"/>
          <w:i/>
          <w:sz w:val="18"/>
          <w:szCs w:val="18"/>
        </w:rPr>
        <w:lastRenderedPageBreak/>
        <w:t xml:space="preserve">Rechtsanwalt Krause beantragt, für seinen Mandanten Herrn Grün, einen Mahnbescheid beim Amtsgericht Wedding. Der Mahnbescheid wird antragsgemäß erlassen und an die Antragsgegnerin Frau Ming am 13.04.2023 zugestellt. </w:t>
      </w:r>
    </w:p>
    <w:p w:rsidR="00E244C3" w:rsidRDefault="00E244C3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Notfrist = 2 Wochen</w:t>
      </w:r>
    </w:p>
    <w:p w:rsidR="00E244C3" w:rsidRDefault="00E244C3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Frist e</w:t>
      </w:r>
      <w:r w:rsidR="00F2505E">
        <w:rPr>
          <w:rFonts w:ascii="Arial" w:hAnsi="Arial" w:cs="Arial"/>
          <w:b/>
          <w:sz w:val="22"/>
        </w:rPr>
        <w:t>ndet mit Ablauf des 27</w:t>
      </w:r>
      <w:r>
        <w:rPr>
          <w:rFonts w:ascii="Arial" w:hAnsi="Arial" w:cs="Arial"/>
          <w:b/>
          <w:sz w:val="22"/>
        </w:rPr>
        <w:t>.04.2023 (24:00 Uhr)</w:t>
      </w:r>
    </w:p>
    <w:p w:rsidR="00E244C3" w:rsidRPr="00E244C3" w:rsidRDefault="00E244C3" w:rsidP="00E244C3">
      <w:pPr>
        <w:pStyle w:val="Listenabsatz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rechtskräftig ab dem 2</w:t>
      </w:r>
      <w:r w:rsidR="00F2505E"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>.04.2023</w:t>
      </w:r>
    </w:p>
    <w:p w:rsidR="00E244C3" w:rsidRPr="00E244C3" w:rsidRDefault="00E244C3" w:rsidP="00E244C3">
      <w:pPr>
        <w:jc w:val="both"/>
        <w:rPr>
          <w:rFonts w:ascii="Arial" w:hAnsi="Arial" w:cs="Arial"/>
          <w:i/>
          <w:sz w:val="22"/>
        </w:rPr>
      </w:pPr>
    </w:p>
    <w:p w:rsidR="00E244C3" w:rsidRPr="00E244C3" w:rsidRDefault="00E244C3" w:rsidP="00E244C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E244C3">
        <w:rPr>
          <w:rFonts w:ascii="Arial" w:hAnsi="Arial" w:cs="Arial"/>
          <w:i/>
          <w:sz w:val="18"/>
          <w:szCs w:val="18"/>
        </w:rPr>
        <w:t>Frau Weiß verklagt Herrn Gatow auf Zahlung einer Forderung in Höhe von 2.000 EUR.</w:t>
      </w:r>
    </w:p>
    <w:p w:rsidR="00E244C3" w:rsidRPr="00E244C3" w:rsidRDefault="00E244C3" w:rsidP="00E244C3">
      <w:pPr>
        <w:pStyle w:val="Listenabsatz"/>
        <w:jc w:val="both"/>
        <w:rPr>
          <w:rFonts w:ascii="Arial" w:hAnsi="Arial" w:cs="Arial"/>
          <w:i/>
          <w:sz w:val="18"/>
          <w:szCs w:val="18"/>
        </w:rPr>
      </w:pPr>
      <w:r w:rsidRPr="00E244C3">
        <w:rPr>
          <w:rFonts w:ascii="Arial" w:hAnsi="Arial" w:cs="Arial"/>
          <w:i/>
          <w:sz w:val="18"/>
          <w:szCs w:val="18"/>
        </w:rPr>
        <w:t>Im Termin, vor dem Amtsgericht Charlottenburg, ergeht gegen Herrn Gatow ein Versäumnisurteil, da er nicht erschienen ist.</w:t>
      </w:r>
    </w:p>
    <w:p w:rsidR="00E244C3" w:rsidRPr="00E244C3" w:rsidRDefault="00E244C3" w:rsidP="00E244C3">
      <w:pPr>
        <w:pStyle w:val="Listenabsatz"/>
        <w:jc w:val="both"/>
        <w:rPr>
          <w:rFonts w:ascii="Arial" w:hAnsi="Arial" w:cs="Arial"/>
          <w:i/>
          <w:sz w:val="18"/>
          <w:szCs w:val="18"/>
        </w:rPr>
      </w:pPr>
      <w:r w:rsidRPr="00E244C3">
        <w:rPr>
          <w:rFonts w:ascii="Arial" w:hAnsi="Arial" w:cs="Arial"/>
          <w:i/>
          <w:sz w:val="18"/>
          <w:szCs w:val="18"/>
        </w:rPr>
        <w:t>Das Versäumnisurteil wird Herrn Gatow am 08.04.2023 zugestellt. Der von ihm eingelegte Einspruch geht am 25.04.2023 beim zuständigen Gericht ein.</w:t>
      </w:r>
    </w:p>
    <w:p w:rsidR="00E244C3" w:rsidRDefault="00E244C3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Notfrist = 2 Wochen</w:t>
      </w:r>
    </w:p>
    <w:p w:rsidR="00E244C3" w:rsidRDefault="00E244C3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Frist endet mit Ablauf des 2</w:t>
      </w:r>
      <w:r w:rsidR="00444E06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.04.2023 (24:00 Uhr)</w:t>
      </w:r>
    </w:p>
    <w:p w:rsidR="00E244C3" w:rsidRPr="00E244C3" w:rsidRDefault="00E244C3" w:rsidP="00E244C3">
      <w:pPr>
        <w:ind w:firstLine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 xml:space="preserve">Nicht rechtskräftig geworden, da </w:t>
      </w:r>
      <w:r w:rsidR="00444E06">
        <w:rPr>
          <w:rFonts w:ascii="Arial" w:hAnsi="Arial" w:cs="Arial"/>
          <w:b/>
          <w:sz w:val="22"/>
        </w:rPr>
        <w:t xml:space="preserve">der </w:t>
      </w:r>
      <w:r>
        <w:rPr>
          <w:rFonts w:ascii="Arial" w:hAnsi="Arial" w:cs="Arial"/>
          <w:b/>
          <w:sz w:val="22"/>
        </w:rPr>
        <w:t>Rechtsbehelf</w:t>
      </w:r>
      <w:r w:rsidR="00444E06">
        <w:rPr>
          <w:rFonts w:ascii="Arial" w:hAnsi="Arial" w:cs="Arial"/>
          <w:b/>
          <w:sz w:val="22"/>
        </w:rPr>
        <w:t xml:space="preserve"> rechtzeitig</w:t>
      </w:r>
      <w:r>
        <w:rPr>
          <w:rFonts w:ascii="Arial" w:hAnsi="Arial" w:cs="Arial"/>
          <w:b/>
          <w:sz w:val="22"/>
        </w:rPr>
        <w:t xml:space="preserve"> eingelegt wurde.</w:t>
      </w:r>
    </w:p>
    <w:p w:rsidR="00E244C3" w:rsidRPr="00E244C3" w:rsidRDefault="00E244C3" w:rsidP="00E244C3">
      <w:pPr>
        <w:jc w:val="both"/>
        <w:rPr>
          <w:rFonts w:ascii="Arial" w:hAnsi="Arial" w:cs="Arial"/>
          <w:i/>
          <w:sz w:val="22"/>
        </w:rPr>
      </w:pPr>
    </w:p>
    <w:p w:rsidR="00E244C3" w:rsidRPr="00E244C3" w:rsidRDefault="00E244C3" w:rsidP="00E244C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E244C3">
        <w:rPr>
          <w:rFonts w:ascii="Arial" w:hAnsi="Arial" w:cs="Arial"/>
          <w:i/>
          <w:sz w:val="18"/>
          <w:szCs w:val="18"/>
        </w:rPr>
        <w:t>Am 04.03.2023 wird ein Urteil des Amtsgericht Köpenick dem Beklagten Herrn Bloom</w:t>
      </w:r>
    </w:p>
    <w:p w:rsidR="00E244C3" w:rsidRDefault="00E244C3" w:rsidP="00E244C3">
      <w:pPr>
        <w:ind w:left="708"/>
        <w:jc w:val="both"/>
        <w:rPr>
          <w:rFonts w:ascii="Arial" w:hAnsi="Arial" w:cs="Arial"/>
          <w:i/>
          <w:sz w:val="22"/>
        </w:rPr>
      </w:pPr>
      <w:r w:rsidRPr="00E244C3">
        <w:rPr>
          <w:rFonts w:ascii="Arial" w:hAnsi="Arial" w:cs="Arial"/>
          <w:i/>
          <w:sz w:val="18"/>
          <w:szCs w:val="18"/>
        </w:rPr>
        <w:t>zugestellt. Herr Bloom legt, vertreten durch Rechtsanwalt Herrn Ernst, Berufung beim Landgericht Berlin ein. Die Berufung wird von Rechtsanwalt Ernst persönlich in den Briefkasten am Landgericht, am 30.03.2023, eingeworfen.</w:t>
      </w:r>
    </w:p>
    <w:p w:rsidR="00E244C3" w:rsidRDefault="00E244C3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Notfrist = 1 Monat</w:t>
      </w:r>
    </w:p>
    <w:p w:rsidR="00E244C3" w:rsidRDefault="00F2505E" w:rsidP="00E244C3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Frist endet mit Ablauf des 04</w:t>
      </w:r>
      <w:r w:rsidR="00E244C3">
        <w:rPr>
          <w:rFonts w:ascii="Arial" w:hAnsi="Arial" w:cs="Arial"/>
          <w:b/>
          <w:sz w:val="22"/>
        </w:rPr>
        <w:t>.04.2023 (24:00 Uhr)</w:t>
      </w:r>
    </w:p>
    <w:p w:rsidR="00E244C3" w:rsidRPr="00E244C3" w:rsidRDefault="001E17BB" w:rsidP="001E17BB">
      <w:pPr>
        <w:ind w:left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Das Urteil ist nicht rechtskräftig geworden, da das Rechtmittel rechtzeitig eingelegt wurde.</w:t>
      </w:r>
    </w:p>
    <w:p w:rsidR="00E244C3" w:rsidRPr="00E244C3" w:rsidRDefault="00E244C3" w:rsidP="00E244C3">
      <w:pPr>
        <w:jc w:val="both"/>
        <w:rPr>
          <w:rFonts w:ascii="Arial" w:hAnsi="Arial" w:cs="Arial"/>
          <w:i/>
          <w:sz w:val="22"/>
        </w:rPr>
      </w:pPr>
    </w:p>
    <w:p w:rsidR="00E244C3" w:rsidRPr="001E17BB" w:rsidRDefault="00E244C3" w:rsidP="00E244C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1E17BB">
        <w:rPr>
          <w:rFonts w:ascii="Arial" w:hAnsi="Arial" w:cs="Arial"/>
          <w:i/>
          <w:sz w:val="18"/>
          <w:szCs w:val="18"/>
        </w:rPr>
        <w:t xml:space="preserve">Nachdem das Urteil des Amtsgerichts Pankow dem Prozessbevollmächtigten </w:t>
      </w:r>
      <w:proofErr w:type="gramStart"/>
      <w:r w:rsidRPr="001E17BB">
        <w:rPr>
          <w:rFonts w:ascii="Arial" w:hAnsi="Arial" w:cs="Arial"/>
          <w:i/>
          <w:sz w:val="18"/>
          <w:szCs w:val="18"/>
        </w:rPr>
        <w:t>der  Beklagten</w:t>
      </w:r>
      <w:proofErr w:type="gramEnd"/>
      <w:r w:rsidRPr="001E17BB">
        <w:rPr>
          <w:rFonts w:ascii="Arial" w:hAnsi="Arial" w:cs="Arial"/>
          <w:i/>
          <w:sz w:val="18"/>
          <w:szCs w:val="18"/>
        </w:rPr>
        <w:t xml:space="preserve"> Frau Braun am 16.03.2023 zugestellt wurde, legt dieser am 14.04.2023 Berufung ein. Die Berufung geht am selben Tag beim Landgericht ein.</w:t>
      </w:r>
    </w:p>
    <w:p w:rsidR="00E244C3" w:rsidRPr="001E17BB" w:rsidRDefault="00E244C3" w:rsidP="001E17BB">
      <w:pPr>
        <w:ind w:left="360" w:firstLine="348"/>
        <w:jc w:val="both"/>
        <w:rPr>
          <w:rFonts w:ascii="Arial" w:hAnsi="Arial" w:cs="Arial"/>
          <w:b/>
          <w:sz w:val="22"/>
        </w:rPr>
      </w:pPr>
      <w:r w:rsidRPr="001E17BB">
        <w:rPr>
          <w:rFonts w:ascii="Arial" w:hAnsi="Arial" w:cs="Arial"/>
          <w:b/>
          <w:sz w:val="22"/>
        </w:rPr>
        <w:t>Notfrist = 1 Monat</w:t>
      </w:r>
    </w:p>
    <w:p w:rsidR="00E244C3" w:rsidRDefault="00E244C3" w:rsidP="001E17BB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</w:t>
      </w:r>
      <w:r w:rsidR="001E17BB">
        <w:rPr>
          <w:rFonts w:ascii="Arial" w:hAnsi="Arial" w:cs="Arial"/>
          <w:b/>
          <w:sz w:val="22"/>
        </w:rPr>
        <w:t>rist endet mit Ablauf des 1</w:t>
      </w:r>
      <w:r w:rsidR="00F2505E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z w:val="22"/>
        </w:rPr>
        <w:t>.04.2023 (24:00 Uhr)</w:t>
      </w:r>
    </w:p>
    <w:p w:rsidR="00E244C3" w:rsidRPr="00E244C3" w:rsidRDefault="001E17BB" w:rsidP="001E17BB">
      <w:pPr>
        <w:ind w:left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Das Urteil ist nicht rechtskräftig geworden, da das Rechtmittel rechtzeitig eingelegt wurde.</w:t>
      </w:r>
    </w:p>
    <w:p w:rsidR="00E244C3" w:rsidRPr="00E244C3" w:rsidRDefault="00E244C3" w:rsidP="00E244C3">
      <w:pPr>
        <w:jc w:val="both"/>
        <w:rPr>
          <w:rFonts w:ascii="Arial" w:hAnsi="Arial" w:cs="Arial"/>
          <w:i/>
          <w:sz w:val="22"/>
        </w:rPr>
      </w:pPr>
    </w:p>
    <w:p w:rsidR="00543D6D" w:rsidRDefault="00E244C3" w:rsidP="00E244C3">
      <w:pPr>
        <w:pStyle w:val="Listenabsatz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E17BB">
        <w:rPr>
          <w:rFonts w:ascii="Arial" w:hAnsi="Arial" w:cs="Arial"/>
          <w:i/>
          <w:sz w:val="18"/>
          <w:szCs w:val="18"/>
        </w:rPr>
        <w:t>Der Beklagte Herr Rot legt Einspruch gegen das Versäumnisurteil des Amtsgerichts Spandau ein. Der Einspruch geht am 2</w:t>
      </w:r>
      <w:r w:rsidR="00F2505E">
        <w:rPr>
          <w:rFonts w:ascii="Arial" w:hAnsi="Arial" w:cs="Arial"/>
          <w:i/>
          <w:sz w:val="18"/>
          <w:szCs w:val="18"/>
        </w:rPr>
        <w:t>6</w:t>
      </w:r>
      <w:bookmarkStart w:id="0" w:name="_GoBack"/>
      <w:bookmarkEnd w:id="0"/>
      <w:r w:rsidRPr="001E17BB">
        <w:rPr>
          <w:rFonts w:ascii="Arial" w:hAnsi="Arial" w:cs="Arial"/>
          <w:i/>
          <w:sz w:val="18"/>
          <w:szCs w:val="18"/>
        </w:rPr>
        <w:t>.04.2023 beim Amtsgericht Spandau ein. Er wurde zur Zahlung einer Forderungssumme von 1.800 EUR verurteilt. Das Versäumnisurteil wurde ihm am 1</w:t>
      </w:r>
      <w:r w:rsidR="00444E06">
        <w:rPr>
          <w:rFonts w:ascii="Arial" w:hAnsi="Arial" w:cs="Arial"/>
          <w:i/>
          <w:sz w:val="18"/>
          <w:szCs w:val="18"/>
        </w:rPr>
        <w:t>1</w:t>
      </w:r>
      <w:r w:rsidRPr="001E17BB">
        <w:rPr>
          <w:rFonts w:ascii="Arial" w:hAnsi="Arial" w:cs="Arial"/>
          <w:i/>
          <w:sz w:val="18"/>
          <w:szCs w:val="18"/>
        </w:rPr>
        <w:t xml:space="preserve">.04.2023 zugestellt.  </w:t>
      </w:r>
    </w:p>
    <w:p w:rsidR="001E17BB" w:rsidRDefault="001E17BB" w:rsidP="001E17BB">
      <w:pPr>
        <w:pStyle w:val="Listenabsatz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Notfrist = 2 Wochen</w:t>
      </w:r>
    </w:p>
    <w:p w:rsidR="001E17BB" w:rsidRPr="001E17BB" w:rsidRDefault="001E17BB" w:rsidP="001E17BB">
      <w:pPr>
        <w:ind w:firstLine="708"/>
        <w:jc w:val="both"/>
        <w:rPr>
          <w:rFonts w:ascii="Arial" w:hAnsi="Arial" w:cs="Arial"/>
          <w:b/>
          <w:sz w:val="22"/>
        </w:rPr>
      </w:pPr>
      <w:r w:rsidRPr="001E17BB">
        <w:rPr>
          <w:rFonts w:ascii="Arial" w:hAnsi="Arial" w:cs="Arial"/>
          <w:b/>
          <w:sz w:val="22"/>
        </w:rPr>
        <w:t xml:space="preserve">Frist endet mit Ablauf des </w:t>
      </w:r>
      <w:r>
        <w:rPr>
          <w:rFonts w:ascii="Arial" w:hAnsi="Arial" w:cs="Arial"/>
          <w:b/>
          <w:sz w:val="22"/>
        </w:rPr>
        <w:t>2</w:t>
      </w:r>
      <w:r w:rsidR="00F2505E">
        <w:rPr>
          <w:rFonts w:ascii="Arial" w:hAnsi="Arial" w:cs="Arial"/>
          <w:b/>
          <w:sz w:val="22"/>
        </w:rPr>
        <w:t>5</w:t>
      </w:r>
      <w:r w:rsidRPr="001E17BB">
        <w:rPr>
          <w:rFonts w:ascii="Arial" w:hAnsi="Arial" w:cs="Arial"/>
          <w:b/>
          <w:sz w:val="22"/>
        </w:rPr>
        <w:t>.04.2023 (24:00 Uhr)</w:t>
      </w:r>
    </w:p>
    <w:p w:rsidR="001E17BB" w:rsidRPr="00E244C3" w:rsidRDefault="001E17BB" w:rsidP="001E17BB">
      <w:pPr>
        <w:pStyle w:val="Listenabsatz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rechtskräftig ab dem 2</w:t>
      </w:r>
      <w:r w:rsidR="00F2505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.04.2023, Einspruch verspätet</w:t>
      </w:r>
      <w:r w:rsidR="00484118">
        <w:rPr>
          <w:rFonts w:ascii="Arial" w:hAnsi="Arial" w:cs="Arial"/>
          <w:b/>
          <w:sz w:val="22"/>
        </w:rPr>
        <w:t>!</w:t>
      </w:r>
    </w:p>
    <w:p w:rsidR="001E17BB" w:rsidRPr="001E17BB" w:rsidRDefault="001E17BB" w:rsidP="001E17BB">
      <w:pPr>
        <w:pStyle w:val="Listenabsatz"/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sectPr w:rsidR="001E17BB" w:rsidRPr="001E17B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01" w:rsidRDefault="00806F01" w:rsidP="00435B20">
      <w:pPr>
        <w:spacing w:line="240" w:lineRule="auto"/>
      </w:pPr>
      <w:r>
        <w:separator/>
      </w:r>
    </w:p>
  </w:endnote>
  <w:endnote w:type="continuationSeparator" w:id="0">
    <w:p w:rsidR="00806F01" w:rsidRDefault="00806F01" w:rsidP="00435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7091"/>
      <w:gridCol w:w="1270"/>
    </w:tblGrid>
    <w:tr w:rsidR="001B7027" w:rsidRPr="001B7027" w:rsidTr="001B7027">
      <w:tc>
        <w:tcPr>
          <w:tcW w:w="701" w:type="dxa"/>
        </w:tcPr>
        <w:p w:rsidR="001B7027" w:rsidRPr="001B7027" w:rsidRDefault="00DA7F8F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051</w:t>
          </w:r>
        </w:p>
      </w:tc>
      <w:tc>
        <w:tcPr>
          <w:tcW w:w="7091" w:type="dxa"/>
        </w:tcPr>
        <w:p w:rsidR="001B7027" w:rsidRPr="001B7027" w:rsidRDefault="001B7027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Übung </w:t>
          </w:r>
          <w:r w:rsidR="00DA7F8F">
            <w:rPr>
              <w:rFonts w:ascii="Arial" w:hAnsi="Arial" w:cs="Arial"/>
              <w:sz w:val="16"/>
              <w:szCs w:val="16"/>
            </w:rPr>
            <w:t>Rechtskraft</w:t>
          </w:r>
        </w:p>
      </w:tc>
      <w:tc>
        <w:tcPr>
          <w:tcW w:w="1270" w:type="dxa"/>
        </w:tcPr>
        <w:p w:rsidR="001B7027" w:rsidRPr="001B7027" w:rsidRDefault="00DA7F8F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KG 2023</w:t>
          </w:r>
        </w:p>
      </w:tc>
    </w:tr>
  </w:tbl>
  <w:p w:rsidR="00435B20" w:rsidRPr="001B7027" w:rsidRDefault="00435B20" w:rsidP="001B702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01" w:rsidRDefault="00806F01" w:rsidP="00435B20">
      <w:pPr>
        <w:spacing w:line="240" w:lineRule="auto"/>
      </w:pPr>
      <w:r>
        <w:separator/>
      </w:r>
    </w:p>
  </w:footnote>
  <w:footnote w:type="continuationSeparator" w:id="0">
    <w:p w:rsidR="00806F01" w:rsidRDefault="00806F01" w:rsidP="00435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5958"/>
      <w:gridCol w:w="884"/>
      <w:gridCol w:w="2220"/>
    </w:tblGrid>
    <w:tr w:rsidR="001B7027" w:rsidTr="001B7027">
      <w:tc>
        <w:tcPr>
          <w:tcW w:w="5958" w:type="dxa"/>
        </w:tcPr>
        <w:p w:rsidR="001B7027" w:rsidRPr="001B7027" w:rsidRDefault="00DA7F8F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Rechtskraft</w:t>
          </w:r>
        </w:p>
      </w:tc>
      <w:tc>
        <w:tcPr>
          <w:tcW w:w="884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2220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  <w:r w:rsidRPr="001B7027">
            <w:rPr>
              <w:rFonts w:ascii="Arial" w:hAnsi="Arial" w:cs="Arial"/>
              <w:b/>
            </w:rPr>
            <w:t>Datum:</w:t>
          </w:r>
        </w:p>
      </w:tc>
    </w:tr>
  </w:tbl>
  <w:p w:rsidR="001B7027" w:rsidRDefault="001B70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DC4"/>
    <w:multiLevelType w:val="hybridMultilevel"/>
    <w:tmpl w:val="FB7416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085"/>
    <w:multiLevelType w:val="hybridMultilevel"/>
    <w:tmpl w:val="E4F2D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D"/>
    <w:rsid w:val="00072D38"/>
    <w:rsid w:val="000864F1"/>
    <w:rsid w:val="001B7027"/>
    <w:rsid w:val="001C0E27"/>
    <w:rsid w:val="001E17BB"/>
    <w:rsid w:val="002D1B09"/>
    <w:rsid w:val="00304E59"/>
    <w:rsid w:val="003339E4"/>
    <w:rsid w:val="00403067"/>
    <w:rsid w:val="00405943"/>
    <w:rsid w:val="00435B20"/>
    <w:rsid w:val="00444E06"/>
    <w:rsid w:val="00484118"/>
    <w:rsid w:val="004B08B7"/>
    <w:rsid w:val="00543D6D"/>
    <w:rsid w:val="005A1C86"/>
    <w:rsid w:val="005C4E51"/>
    <w:rsid w:val="006355CF"/>
    <w:rsid w:val="006B0743"/>
    <w:rsid w:val="0072615A"/>
    <w:rsid w:val="007F507C"/>
    <w:rsid w:val="00806F01"/>
    <w:rsid w:val="00817A90"/>
    <w:rsid w:val="008707DE"/>
    <w:rsid w:val="008A7DE7"/>
    <w:rsid w:val="008F1999"/>
    <w:rsid w:val="009C0B1A"/>
    <w:rsid w:val="00AB7587"/>
    <w:rsid w:val="00B70336"/>
    <w:rsid w:val="00C3523E"/>
    <w:rsid w:val="00C953C4"/>
    <w:rsid w:val="00D51D7C"/>
    <w:rsid w:val="00DA7F8F"/>
    <w:rsid w:val="00DC7C1B"/>
    <w:rsid w:val="00E244C3"/>
    <w:rsid w:val="00F2505E"/>
    <w:rsid w:val="00F35156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F0A"/>
  <w15:chartTrackingRefBased/>
  <w15:docId w15:val="{8D417328-24B4-4D9B-944C-1048A09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D6D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berschrift1">
    <w:name w:val="heading 1"/>
    <w:aliases w:val="11"/>
    <w:basedOn w:val="Standard"/>
    <w:next w:val="Standard"/>
    <w:link w:val="berschrift1Zchn"/>
    <w:uiPriority w:val="9"/>
    <w:qFormat/>
    <w:rsid w:val="00543D6D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1 Zchn"/>
    <w:basedOn w:val="Absatz-Standardschriftart"/>
    <w:link w:val="berschrift1"/>
    <w:uiPriority w:val="9"/>
    <w:rsid w:val="00543D6D"/>
    <w:rPr>
      <w:rFonts w:eastAsiaTheme="majorEastAsia" w:cstheme="majorBidi"/>
      <w:b/>
      <w:bCs/>
      <w:sz w:val="22"/>
      <w:szCs w:val="28"/>
      <w:u w:val="single"/>
      <w:lang w:eastAsia="en-US"/>
    </w:rPr>
  </w:style>
  <w:style w:type="table" w:styleId="Tabellenraster">
    <w:name w:val="Table Grid"/>
    <w:basedOn w:val="NormaleTabelle"/>
    <w:uiPriority w:val="59"/>
    <w:rsid w:val="00543D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27"/>
    <w:rPr>
      <w:rFonts w:ascii="Segoe UI" w:eastAsiaTheme="minorHAns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DA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Carus, Natascha</cp:lastModifiedBy>
  <cp:revision>4</cp:revision>
  <cp:lastPrinted>2022-03-01T14:13:00Z</cp:lastPrinted>
  <dcterms:created xsi:type="dcterms:W3CDTF">2023-07-25T16:23:00Z</dcterms:created>
  <dcterms:modified xsi:type="dcterms:W3CDTF">2023-07-25T16:53:00Z</dcterms:modified>
</cp:coreProperties>
</file>