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8E8FE" w14:textId="367A2B93" w:rsidR="005B15A2" w:rsidRPr="00CC601A" w:rsidRDefault="00CC601A">
      <w:pPr>
        <w:rPr>
          <w:rFonts w:ascii="Arial" w:hAnsi="Arial" w:cs="Arial"/>
          <w:sz w:val="24"/>
          <w:szCs w:val="24"/>
          <w:u w:val="single"/>
        </w:rPr>
      </w:pPr>
      <w:r w:rsidRPr="00CC601A">
        <w:rPr>
          <w:rFonts w:ascii="Arial" w:hAnsi="Arial" w:cs="Arial"/>
          <w:sz w:val="24"/>
          <w:szCs w:val="24"/>
          <w:u w:val="single"/>
        </w:rPr>
        <w:t>Theorie Fragen</w:t>
      </w:r>
    </w:p>
    <w:p w14:paraId="2EE71250" w14:textId="55C70810" w:rsidR="00CC601A" w:rsidRPr="005F13B1" w:rsidRDefault="00CC601A" w:rsidP="005F13B1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5F13B1">
        <w:rPr>
          <w:rFonts w:ascii="Arial" w:hAnsi="Arial" w:cs="Arial"/>
          <w:sz w:val="20"/>
          <w:szCs w:val="20"/>
        </w:rPr>
        <w:t>Nennen Sie die Ihnen bekannten Strafzwecke.</w:t>
      </w:r>
    </w:p>
    <w:p w14:paraId="782261B6" w14:textId="225F78A4" w:rsidR="00CC601A" w:rsidRPr="005F13B1" w:rsidRDefault="00CC601A" w:rsidP="005F13B1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5F13B1">
        <w:rPr>
          <w:rFonts w:ascii="Arial" w:hAnsi="Arial" w:cs="Arial"/>
          <w:sz w:val="20"/>
          <w:szCs w:val="20"/>
        </w:rPr>
        <w:t>Geben Sie die Ihnen bekannten Haftbefehle wieder. Nennen Sie jeweils, unter Anwendung der Rechtsnorm die Voraussetzungen für diese.</w:t>
      </w:r>
    </w:p>
    <w:p w14:paraId="01F89F05" w14:textId="58F7A940" w:rsidR="00CC601A" w:rsidRPr="005F13B1" w:rsidRDefault="00CC601A" w:rsidP="005F13B1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5F13B1">
        <w:rPr>
          <w:rFonts w:ascii="Arial" w:hAnsi="Arial" w:cs="Arial"/>
          <w:sz w:val="20"/>
          <w:szCs w:val="20"/>
        </w:rPr>
        <w:t>Erläutern Sie unter Anwendung der Rechtsnorm, die Entscheidungsmöglichkeiten der Ermittlungsbehörde am Ende des Ermittlungsverfahrens.</w:t>
      </w:r>
    </w:p>
    <w:p w14:paraId="13973B1A" w14:textId="6D7123FD" w:rsidR="00CC601A" w:rsidRPr="005F13B1" w:rsidRDefault="00CC601A" w:rsidP="005F13B1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5F13B1">
        <w:rPr>
          <w:rFonts w:ascii="Arial" w:hAnsi="Arial" w:cs="Arial"/>
          <w:sz w:val="20"/>
          <w:szCs w:val="20"/>
        </w:rPr>
        <w:t>Geben Sie je eine vorläufige und eine endgültige Einstellung im Ermittlungsverfahren wieder.</w:t>
      </w:r>
    </w:p>
    <w:p w14:paraId="1937927B" w14:textId="1F36C979" w:rsidR="00CC601A" w:rsidRPr="005F13B1" w:rsidRDefault="00CC601A" w:rsidP="005F13B1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5F13B1">
        <w:rPr>
          <w:rFonts w:ascii="Arial" w:hAnsi="Arial" w:cs="Arial"/>
          <w:sz w:val="20"/>
          <w:szCs w:val="20"/>
        </w:rPr>
        <w:t>Nennen Sie fünf Ermittlungsmaßnahmen.</w:t>
      </w:r>
    </w:p>
    <w:p w14:paraId="79372DDE" w14:textId="6558EC10" w:rsidR="00CC601A" w:rsidRPr="005F13B1" w:rsidRDefault="00CC601A" w:rsidP="005F13B1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5F13B1">
        <w:rPr>
          <w:rFonts w:ascii="Arial" w:hAnsi="Arial" w:cs="Arial"/>
          <w:sz w:val="20"/>
          <w:szCs w:val="20"/>
        </w:rPr>
        <w:t>Zählen Sie die Ihnen bekannten Registerzeichen des AG TGs auf.</w:t>
      </w:r>
    </w:p>
    <w:p w14:paraId="02BA88F4" w14:textId="2BBE39C3" w:rsidR="00CC601A" w:rsidRPr="005F13B1" w:rsidRDefault="00CC601A" w:rsidP="005F13B1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5F13B1">
        <w:rPr>
          <w:rFonts w:ascii="Arial" w:hAnsi="Arial" w:cs="Arial"/>
          <w:sz w:val="20"/>
          <w:szCs w:val="20"/>
        </w:rPr>
        <w:t>Begründen Sie die Zuständigkeit des Schöffengerichts, mithilfe der Rechtsnorm.</w:t>
      </w:r>
    </w:p>
    <w:p w14:paraId="29F75E08" w14:textId="595D5E8F" w:rsidR="00CC601A" w:rsidRPr="005F13B1" w:rsidRDefault="00CC601A" w:rsidP="005F13B1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5F13B1">
        <w:rPr>
          <w:rFonts w:ascii="Arial" w:hAnsi="Arial" w:cs="Arial"/>
          <w:sz w:val="20"/>
          <w:szCs w:val="20"/>
        </w:rPr>
        <w:t>Erläutern Sie, unter Anwendung der Rechtsnorm, die Entscheidungsmöglichkeiten des Richters im Zwischenverfahren eines Strafbefehlsverfahrens.</w:t>
      </w:r>
    </w:p>
    <w:p w14:paraId="4944FFE4" w14:textId="04735B27" w:rsidR="00CC601A" w:rsidRPr="005F13B1" w:rsidRDefault="00CC601A" w:rsidP="005F13B1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5F13B1">
        <w:rPr>
          <w:rFonts w:ascii="Arial" w:hAnsi="Arial" w:cs="Arial"/>
          <w:sz w:val="20"/>
          <w:szCs w:val="20"/>
        </w:rPr>
        <w:t>Geben Sie den chronologischen Ablauf einer Hauptverhandlung wieder.</w:t>
      </w:r>
    </w:p>
    <w:p w14:paraId="1F3DCB70" w14:textId="6403662B" w:rsidR="00CC601A" w:rsidRPr="005F13B1" w:rsidRDefault="00CC601A" w:rsidP="005F13B1">
      <w:pPr>
        <w:pStyle w:val="Listenabsatz"/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5F13B1">
        <w:rPr>
          <w:rFonts w:ascii="Arial" w:hAnsi="Arial" w:cs="Arial"/>
          <w:sz w:val="20"/>
          <w:szCs w:val="20"/>
        </w:rPr>
        <w:t>Erläutern Sie die Ihnen bekannten Zeugenbelehrungen, mithilfe der Rechtsnorm.</w:t>
      </w:r>
    </w:p>
    <w:p w14:paraId="658BD261" w14:textId="2A04CD3B" w:rsidR="00CC601A" w:rsidRPr="005F13B1" w:rsidRDefault="00CC601A" w:rsidP="005F13B1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5F13B1">
        <w:rPr>
          <w:rFonts w:ascii="Arial" w:hAnsi="Arial" w:cs="Arial"/>
          <w:sz w:val="20"/>
          <w:szCs w:val="20"/>
        </w:rPr>
        <w:t>Erklären Sie den Unterschied zwischen Aussetzung und Unterbrechung. Nehmen Sie Bezug auf die Rechtsnorm.</w:t>
      </w:r>
    </w:p>
    <w:p w14:paraId="216BCA02" w14:textId="48B294E4" w:rsidR="00CC601A" w:rsidRPr="005F13B1" w:rsidRDefault="00CC601A" w:rsidP="005F13B1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5F13B1">
        <w:rPr>
          <w:rFonts w:ascii="Arial" w:hAnsi="Arial" w:cs="Arial"/>
          <w:sz w:val="20"/>
          <w:szCs w:val="20"/>
        </w:rPr>
        <w:t>Welche Urteile im Strafprozess kennen Sie?</w:t>
      </w:r>
    </w:p>
    <w:p w14:paraId="4F9D3F27" w14:textId="30E12540" w:rsidR="00CC601A" w:rsidRPr="005F13B1" w:rsidRDefault="00CC601A" w:rsidP="005F13B1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5F13B1">
        <w:rPr>
          <w:rFonts w:ascii="Arial" w:hAnsi="Arial" w:cs="Arial"/>
          <w:sz w:val="20"/>
          <w:szCs w:val="20"/>
        </w:rPr>
        <w:t>Zählen Sie die Ihnen bekannten Rechtsmittel im Strafprozess auf. Geben Sie, auch die zuständige Frist, sowie die Entscheidung gegen welche dieses Rechtsmittel zulässig ist, mit an.</w:t>
      </w:r>
    </w:p>
    <w:p w14:paraId="77A1E5BA" w14:textId="7704BA47" w:rsidR="00CC601A" w:rsidRPr="005F13B1" w:rsidRDefault="00CC601A" w:rsidP="005F13B1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5F13B1">
        <w:rPr>
          <w:rFonts w:ascii="Arial" w:hAnsi="Arial" w:cs="Arial"/>
          <w:sz w:val="20"/>
          <w:szCs w:val="20"/>
        </w:rPr>
        <w:t>Zählen Sie drei Verfahrensrechte eines Nebenklägers auf.</w:t>
      </w:r>
    </w:p>
    <w:p w14:paraId="2A1A73EF" w14:textId="62DF4DF2" w:rsidR="00CC601A" w:rsidRPr="005F13B1" w:rsidRDefault="00CC601A" w:rsidP="005F13B1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5F13B1">
        <w:rPr>
          <w:rFonts w:ascii="Arial" w:hAnsi="Arial" w:cs="Arial"/>
          <w:sz w:val="20"/>
          <w:szCs w:val="20"/>
        </w:rPr>
        <w:t>Bearbeiten Sie einen Adhäsionsantrag im Anklageverfahren. Geben Sie die entsprechende Bezeichnung der Parteien an.</w:t>
      </w:r>
    </w:p>
    <w:p w14:paraId="3BE53D73" w14:textId="55417921" w:rsidR="00CC601A" w:rsidRPr="005F13B1" w:rsidRDefault="00CC601A" w:rsidP="005F13B1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5F13B1">
        <w:rPr>
          <w:rFonts w:ascii="Arial" w:hAnsi="Arial" w:cs="Arial"/>
          <w:sz w:val="20"/>
          <w:szCs w:val="20"/>
        </w:rPr>
        <w:t>Was ist Voraussetzung für die Vermögensabschöpfung.</w:t>
      </w:r>
    </w:p>
    <w:p w14:paraId="249EBE60" w14:textId="27D4ADAD" w:rsidR="00CC601A" w:rsidRPr="005F13B1" w:rsidRDefault="00CC601A" w:rsidP="005F13B1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5F13B1">
        <w:rPr>
          <w:rFonts w:ascii="Arial" w:hAnsi="Arial" w:cs="Arial"/>
          <w:sz w:val="20"/>
          <w:szCs w:val="20"/>
        </w:rPr>
        <w:t>Zählen Sie die Ihnen bekannten Rechtsfolgen nach dem StGB auf.</w:t>
      </w:r>
    </w:p>
    <w:p w14:paraId="146A6ABA" w14:textId="5411BEA0" w:rsidR="00CC601A" w:rsidRPr="005F13B1" w:rsidRDefault="00CC601A" w:rsidP="005F13B1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5F13B1">
        <w:rPr>
          <w:rFonts w:ascii="Arial" w:hAnsi="Arial" w:cs="Arial"/>
          <w:sz w:val="20"/>
          <w:szCs w:val="20"/>
        </w:rPr>
        <w:t>Zählen Sie die Ihnen bekannten Rechtsfolgen nach dem JGG auf.</w:t>
      </w:r>
    </w:p>
    <w:p w14:paraId="4EF2C98E" w14:textId="1BFCF9EE" w:rsidR="00CC601A" w:rsidRPr="005F13B1" w:rsidRDefault="00CC601A" w:rsidP="005F13B1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5F13B1">
        <w:rPr>
          <w:rFonts w:ascii="Arial" w:hAnsi="Arial" w:cs="Arial"/>
          <w:sz w:val="20"/>
          <w:szCs w:val="20"/>
        </w:rPr>
        <w:t>Begründen Sie mithilfe der Rechtsnorm, die Zuständigkeit der großen Strafkammer, kleinen Strafkammer und dem Schwurgericht.</w:t>
      </w:r>
    </w:p>
    <w:p w14:paraId="309A351E" w14:textId="54B24857" w:rsidR="00CC601A" w:rsidRPr="005F13B1" w:rsidRDefault="00CC601A" w:rsidP="005F13B1">
      <w:pPr>
        <w:pStyle w:val="Listenabsatz"/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5F13B1">
        <w:rPr>
          <w:rFonts w:ascii="Arial" w:hAnsi="Arial" w:cs="Arial"/>
          <w:sz w:val="20"/>
          <w:szCs w:val="20"/>
        </w:rPr>
        <w:t>Geben Sie die jeweilige Besetzung wieder.</w:t>
      </w:r>
    </w:p>
    <w:p w14:paraId="24878D00" w14:textId="4606B000" w:rsidR="00CC601A" w:rsidRPr="005F13B1" w:rsidRDefault="00CC601A" w:rsidP="005F13B1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5F13B1">
        <w:rPr>
          <w:rFonts w:ascii="Arial" w:hAnsi="Arial" w:cs="Arial"/>
          <w:sz w:val="20"/>
          <w:szCs w:val="20"/>
        </w:rPr>
        <w:t>Zählen Sie die Ihnen bekannten Maßregeln der Besserung und Sicherung auf.</w:t>
      </w:r>
    </w:p>
    <w:p w14:paraId="1063C41F" w14:textId="6E1DDF2F" w:rsidR="00CC601A" w:rsidRPr="005F13B1" w:rsidRDefault="00CC601A" w:rsidP="005F13B1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5F13B1">
        <w:rPr>
          <w:rFonts w:ascii="Arial" w:hAnsi="Arial" w:cs="Arial"/>
          <w:sz w:val="20"/>
          <w:szCs w:val="20"/>
        </w:rPr>
        <w:t>Erläutern Sie mithilfe der Rechtsnorm, die Führungsaufsicht und grenzen Sie diese von der Bewährung ab.</w:t>
      </w:r>
    </w:p>
    <w:p w14:paraId="4ED0AED9" w14:textId="5220B17D" w:rsidR="00CC601A" w:rsidRPr="005F13B1" w:rsidRDefault="00CC601A" w:rsidP="005F13B1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5F13B1">
        <w:rPr>
          <w:rFonts w:ascii="Arial" w:hAnsi="Arial" w:cs="Arial"/>
          <w:sz w:val="20"/>
          <w:szCs w:val="20"/>
        </w:rPr>
        <w:t>Wer ist Vollstreckungsbehörde? Begründen Sie mithilfe der Rechtsnorm.</w:t>
      </w:r>
    </w:p>
    <w:p w14:paraId="51703528" w14:textId="01130301" w:rsidR="00CC601A" w:rsidRPr="005F13B1" w:rsidRDefault="00CC601A" w:rsidP="005F13B1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5F13B1">
        <w:rPr>
          <w:rFonts w:ascii="Arial" w:hAnsi="Arial" w:cs="Arial"/>
          <w:sz w:val="20"/>
          <w:szCs w:val="20"/>
        </w:rPr>
        <w:t>Welche Voraussetzungen müssen für die Vollstreckung vorliegen?</w:t>
      </w:r>
    </w:p>
    <w:p w14:paraId="6EA2CB8D" w14:textId="4D6E8915" w:rsidR="00CC601A" w:rsidRPr="005F13B1" w:rsidRDefault="00CC601A" w:rsidP="005F13B1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5F13B1">
        <w:rPr>
          <w:rFonts w:ascii="Arial" w:hAnsi="Arial" w:cs="Arial"/>
          <w:sz w:val="20"/>
          <w:szCs w:val="20"/>
        </w:rPr>
        <w:t>Welche Vollstreckungshindernisse kennen Sie?</w:t>
      </w:r>
    </w:p>
    <w:p w14:paraId="779F1DD7" w14:textId="34FEE0FF" w:rsidR="00CC601A" w:rsidRPr="005F13B1" w:rsidRDefault="00CC601A" w:rsidP="005F13B1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5F13B1">
        <w:rPr>
          <w:rFonts w:ascii="Arial" w:hAnsi="Arial" w:cs="Arial"/>
          <w:sz w:val="20"/>
          <w:szCs w:val="20"/>
        </w:rPr>
        <w:t>Erläutern Sie das Prinzip der Zurückstellung der Strafe durch Therapie- Auflage.</w:t>
      </w:r>
    </w:p>
    <w:p w14:paraId="3A45FFBA" w14:textId="77777777" w:rsidR="005F13B1" w:rsidRDefault="005F13B1"/>
    <w:p w14:paraId="356D649C" w14:textId="77777777" w:rsidR="005F13B1" w:rsidRDefault="005F13B1"/>
    <w:p w14:paraId="25FF72E8" w14:textId="77777777" w:rsidR="005F13B1" w:rsidRDefault="005F13B1"/>
    <w:p w14:paraId="7C41847B" w14:textId="40B97662" w:rsidR="00CC601A" w:rsidRPr="005F13B1" w:rsidRDefault="00CC601A">
      <w:pPr>
        <w:rPr>
          <w:rFonts w:ascii="Arial" w:hAnsi="Arial" w:cs="Arial"/>
          <w:sz w:val="24"/>
          <w:szCs w:val="24"/>
          <w:u w:val="single"/>
        </w:rPr>
      </w:pPr>
      <w:r w:rsidRPr="005F13B1">
        <w:rPr>
          <w:rFonts w:ascii="Arial" w:hAnsi="Arial" w:cs="Arial"/>
          <w:sz w:val="24"/>
          <w:szCs w:val="24"/>
          <w:u w:val="single"/>
        </w:rPr>
        <w:lastRenderedPageBreak/>
        <w:t>Rechtskraft Übungen</w:t>
      </w:r>
    </w:p>
    <w:p w14:paraId="662BCF0A" w14:textId="77777777" w:rsidR="00CC601A" w:rsidRDefault="00CC601A"/>
    <w:p w14:paraId="5ACB167C" w14:textId="10E371B8" w:rsidR="00CC601A" w:rsidRPr="005F13B1" w:rsidRDefault="00CC601A" w:rsidP="005F13B1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F13B1">
        <w:rPr>
          <w:rFonts w:ascii="Arial" w:hAnsi="Arial" w:cs="Arial"/>
        </w:rPr>
        <w:t xml:space="preserve">Ein Urteil wird am </w:t>
      </w:r>
      <w:r w:rsidRPr="005F13B1">
        <w:rPr>
          <w:rFonts w:ascii="Arial" w:hAnsi="Arial" w:cs="Arial"/>
        </w:rPr>
        <w:t>24.04.2025</w:t>
      </w:r>
      <w:r w:rsidRPr="005F13B1">
        <w:rPr>
          <w:rFonts w:ascii="Arial" w:hAnsi="Arial" w:cs="Arial"/>
        </w:rPr>
        <w:t xml:space="preserve"> verkündet.</w:t>
      </w:r>
    </w:p>
    <w:p w14:paraId="3C2A6817" w14:textId="323910A9" w:rsidR="00CC601A" w:rsidRPr="005F13B1" w:rsidRDefault="00CC601A" w:rsidP="005F13B1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F13B1">
        <w:rPr>
          <w:rFonts w:ascii="Arial" w:hAnsi="Arial" w:cs="Arial"/>
        </w:rPr>
        <w:t xml:space="preserve">Ein Strafbefehl wird am </w:t>
      </w:r>
      <w:r w:rsidRPr="005F13B1">
        <w:rPr>
          <w:rFonts w:ascii="Arial" w:hAnsi="Arial" w:cs="Arial"/>
        </w:rPr>
        <w:t>10.03.2025</w:t>
      </w:r>
      <w:r w:rsidRPr="005F13B1">
        <w:rPr>
          <w:rFonts w:ascii="Arial" w:hAnsi="Arial" w:cs="Arial"/>
        </w:rPr>
        <w:t xml:space="preserve"> zugestellt.</w:t>
      </w:r>
    </w:p>
    <w:p w14:paraId="41E81A6A" w14:textId="6F89DA8C" w:rsidR="00CC601A" w:rsidRPr="005F13B1" w:rsidRDefault="00CC601A" w:rsidP="005F13B1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F13B1">
        <w:rPr>
          <w:rFonts w:ascii="Arial" w:hAnsi="Arial" w:cs="Arial"/>
        </w:rPr>
        <w:t xml:space="preserve">Ein Beschluss wird am </w:t>
      </w:r>
      <w:r w:rsidRPr="005F13B1">
        <w:rPr>
          <w:rFonts w:ascii="Arial" w:hAnsi="Arial" w:cs="Arial"/>
        </w:rPr>
        <w:t>11.04.2025</w:t>
      </w:r>
      <w:r w:rsidRPr="005F13B1">
        <w:rPr>
          <w:rFonts w:ascii="Arial" w:hAnsi="Arial" w:cs="Arial"/>
        </w:rPr>
        <w:t xml:space="preserve"> zugestellt.</w:t>
      </w:r>
    </w:p>
    <w:p w14:paraId="004A291B" w14:textId="5FB2C674" w:rsidR="00CC601A" w:rsidRPr="005F13B1" w:rsidRDefault="00CC601A" w:rsidP="005F13B1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F13B1">
        <w:rPr>
          <w:rFonts w:ascii="Arial" w:hAnsi="Arial" w:cs="Arial"/>
        </w:rPr>
        <w:t xml:space="preserve">Ein Urteil wird am </w:t>
      </w:r>
      <w:r w:rsidRPr="005F13B1">
        <w:rPr>
          <w:rFonts w:ascii="Arial" w:hAnsi="Arial" w:cs="Arial"/>
        </w:rPr>
        <w:t>18.12.2025</w:t>
      </w:r>
      <w:r w:rsidRPr="005F13B1">
        <w:rPr>
          <w:rFonts w:ascii="Arial" w:hAnsi="Arial" w:cs="Arial"/>
        </w:rPr>
        <w:t xml:space="preserve"> verkündet.</w:t>
      </w:r>
    </w:p>
    <w:p w14:paraId="3817A70F" w14:textId="62BE7799" w:rsidR="00CC601A" w:rsidRPr="005F13B1" w:rsidRDefault="00CC601A" w:rsidP="005F13B1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F13B1">
        <w:rPr>
          <w:rFonts w:ascii="Arial" w:hAnsi="Arial" w:cs="Arial"/>
        </w:rPr>
        <w:t xml:space="preserve">Ein Strafbefehl wird am </w:t>
      </w:r>
      <w:r w:rsidRPr="005F13B1">
        <w:rPr>
          <w:rFonts w:ascii="Arial" w:hAnsi="Arial" w:cs="Arial"/>
        </w:rPr>
        <w:t>26.05.2025</w:t>
      </w:r>
      <w:r w:rsidRPr="005F13B1">
        <w:rPr>
          <w:rFonts w:ascii="Arial" w:hAnsi="Arial" w:cs="Arial"/>
        </w:rPr>
        <w:t xml:space="preserve"> zugestellt.</w:t>
      </w:r>
    </w:p>
    <w:p w14:paraId="6866272A" w14:textId="394B718D" w:rsidR="00CC601A" w:rsidRPr="005F13B1" w:rsidRDefault="00CC601A" w:rsidP="005F13B1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F13B1">
        <w:rPr>
          <w:rFonts w:ascii="Arial" w:hAnsi="Arial" w:cs="Arial"/>
        </w:rPr>
        <w:t xml:space="preserve">Ein Urteil wird am 01.10.2025 verkündet. Berufung ist rechtzeitig. Das Landgericht verwirft die Berufung durch Urteil zugestellt am </w:t>
      </w:r>
      <w:r w:rsidRPr="005F13B1">
        <w:rPr>
          <w:rFonts w:ascii="Arial" w:hAnsi="Arial" w:cs="Arial"/>
        </w:rPr>
        <w:t>11.11.2025</w:t>
      </w:r>
      <w:r w:rsidRPr="005F13B1">
        <w:rPr>
          <w:rFonts w:ascii="Arial" w:hAnsi="Arial" w:cs="Arial"/>
        </w:rPr>
        <w:t>.</w:t>
      </w:r>
    </w:p>
    <w:p w14:paraId="475F9FC7" w14:textId="188F2DEA" w:rsidR="00CC601A" w:rsidRPr="005F13B1" w:rsidRDefault="00CC601A" w:rsidP="005F13B1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F13B1">
        <w:rPr>
          <w:rFonts w:ascii="Arial" w:hAnsi="Arial" w:cs="Arial"/>
        </w:rPr>
        <w:t xml:space="preserve">Ein Beschluss (§206a StPO) wird öffentlich durch Aushang am </w:t>
      </w:r>
      <w:r w:rsidRPr="005F13B1">
        <w:rPr>
          <w:rFonts w:ascii="Arial" w:hAnsi="Arial" w:cs="Arial"/>
        </w:rPr>
        <w:t>11.09.2025</w:t>
      </w:r>
      <w:r w:rsidRPr="005F13B1">
        <w:rPr>
          <w:rFonts w:ascii="Arial" w:hAnsi="Arial" w:cs="Arial"/>
        </w:rPr>
        <w:t xml:space="preserve"> zugestellt.</w:t>
      </w:r>
    </w:p>
    <w:p w14:paraId="3A815F9F" w14:textId="65A7C2E0" w:rsidR="00CC601A" w:rsidRPr="005F13B1" w:rsidRDefault="00CC601A" w:rsidP="005F13B1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F13B1">
        <w:rPr>
          <w:rFonts w:ascii="Arial" w:hAnsi="Arial" w:cs="Arial"/>
        </w:rPr>
        <w:t xml:space="preserve">Ein Urteil wird am 03.06.2025 verkündet. Berufung ist rechtzeitig. Das Landgericht ändert am </w:t>
      </w:r>
      <w:r w:rsidRPr="005F13B1">
        <w:rPr>
          <w:rFonts w:ascii="Arial" w:hAnsi="Arial" w:cs="Arial"/>
        </w:rPr>
        <w:t>19.08.2025</w:t>
      </w:r>
      <w:r w:rsidRPr="005F13B1">
        <w:rPr>
          <w:rFonts w:ascii="Arial" w:hAnsi="Arial" w:cs="Arial"/>
        </w:rPr>
        <w:t xml:space="preserve"> durch Urteil ab. Revision ist nicht rechtzeitig. Das Landgericht verwirft diese durch Beschluss zugestellt am </w:t>
      </w:r>
      <w:r w:rsidRPr="005F13B1">
        <w:rPr>
          <w:rFonts w:ascii="Arial" w:hAnsi="Arial" w:cs="Arial"/>
        </w:rPr>
        <w:t>19.12.2025</w:t>
      </w:r>
      <w:r w:rsidRPr="005F13B1">
        <w:rPr>
          <w:rFonts w:ascii="Arial" w:hAnsi="Arial" w:cs="Arial"/>
        </w:rPr>
        <w:t>.</w:t>
      </w:r>
    </w:p>
    <w:p w14:paraId="7C8988D0" w14:textId="1D339903" w:rsidR="00CC601A" w:rsidRPr="005F13B1" w:rsidRDefault="00CC601A" w:rsidP="005F13B1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F13B1">
        <w:rPr>
          <w:rFonts w:ascii="Arial" w:hAnsi="Arial" w:cs="Arial"/>
        </w:rPr>
        <w:t xml:space="preserve">Ein Urteil wird am 08.04.2025 verkündet. Berufung ist rechtzeitig. Das Landgericht hebt das amtsgerichtliche Urteil auf und verkündet am </w:t>
      </w:r>
      <w:r w:rsidRPr="005F13B1">
        <w:rPr>
          <w:rFonts w:ascii="Arial" w:hAnsi="Arial" w:cs="Arial"/>
        </w:rPr>
        <w:t>07.11.2025</w:t>
      </w:r>
      <w:r w:rsidRPr="005F13B1">
        <w:rPr>
          <w:rFonts w:ascii="Arial" w:hAnsi="Arial" w:cs="Arial"/>
        </w:rPr>
        <w:t xml:space="preserve"> ein neues. Revision ist rechtzeitig. Das Kammergericht verwirft durch Beschluss am </w:t>
      </w:r>
      <w:r w:rsidRPr="005F13B1">
        <w:rPr>
          <w:rFonts w:ascii="Arial" w:hAnsi="Arial" w:cs="Arial"/>
        </w:rPr>
        <w:t>24.12.2025</w:t>
      </w:r>
      <w:r w:rsidRPr="005F13B1">
        <w:rPr>
          <w:rFonts w:ascii="Arial" w:hAnsi="Arial" w:cs="Arial"/>
        </w:rPr>
        <w:t>.</w:t>
      </w:r>
    </w:p>
    <w:p w14:paraId="05C7FF11" w14:textId="5BC612F8" w:rsidR="00CC601A" w:rsidRPr="005F13B1" w:rsidRDefault="00CC601A" w:rsidP="005F13B1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F13B1">
        <w:rPr>
          <w:rFonts w:ascii="Arial" w:hAnsi="Arial" w:cs="Arial"/>
        </w:rPr>
        <w:t>Jannick</w:t>
      </w:r>
      <w:r w:rsidRPr="005F13B1">
        <w:rPr>
          <w:rFonts w:ascii="Arial" w:hAnsi="Arial" w:cs="Arial"/>
        </w:rPr>
        <w:t xml:space="preserve"> und </w:t>
      </w:r>
      <w:r w:rsidRPr="005F13B1">
        <w:rPr>
          <w:rFonts w:ascii="Arial" w:hAnsi="Arial" w:cs="Arial"/>
        </w:rPr>
        <w:t>Uwe</w:t>
      </w:r>
      <w:r w:rsidRPr="005F13B1">
        <w:rPr>
          <w:rFonts w:ascii="Arial" w:hAnsi="Arial" w:cs="Arial"/>
        </w:rPr>
        <w:t xml:space="preserve"> werden beide zu einem HVT geladen. J</w:t>
      </w:r>
      <w:r w:rsidRPr="005F13B1">
        <w:rPr>
          <w:rFonts w:ascii="Arial" w:hAnsi="Arial" w:cs="Arial"/>
        </w:rPr>
        <w:t>annick</w:t>
      </w:r>
      <w:r w:rsidRPr="005F13B1">
        <w:rPr>
          <w:rFonts w:ascii="Arial" w:hAnsi="Arial" w:cs="Arial"/>
        </w:rPr>
        <w:t xml:space="preserve"> erscheint nicht. Gegen </w:t>
      </w:r>
      <w:r w:rsidRPr="005F13B1">
        <w:rPr>
          <w:rFonts w:ascii="Arial" w:hAnsi="Arial" w:cs="Arial"/>
        </w:rPr>
        <w:t>Jannick</w:t>
      </w:r>
      <w:r w:rsidRPr="005F13B1">
        <w:rPr>
          <w:rFonts w:ascii="Arial" w:hAnsi="Arial" w:cs="Arial"/>
        </w:rPr>
        <w:t xml:space="preserve"> wird ein Strafbefehl erlassen welcher am </w:t>
      </w:r>
      <w:r w:rsidRPr="005F13B1">
        <w:rPr>
          <w:rFonts w:ascii="Arial" w:hAnsi="Arial" w:cs="Arial"/>
        </w:rPr>
        <w:t>22.05.2025</w:t>
      </w:r>
      <w:r w:rsidRPr="005F13B1">
        <w:rPr>
          <w:rFonts w:ascii="Arial" w:hAnsi="Arial" w:cs="Arial"/>
        </w:rPr>
        <w:t xml:space="preserve"> zugestellt wird. Gegen </w:t>
      </w:r>
      <w:r w:rsidRPr="005F13B1">
        <w:rPr>
          <w:rFonts w:ascii="Arial" w:hAnsi="Arial" w:cs="Arial"/>
        </w:rPr>
        <w:t>Uwe</w:t>
      </w:r>
      <w:r w:rsidRPr="005F13B1">
        <w:rPr>
          <w:rFonts w:ascii="Arial" w:hAnsi="Arial" w:cs="Arial"/>
        </w:rPr>
        <w:t xml:space="preserve"> wird am </w:t>
      </w:r>
      <w:r w:rsidRPr="005F13B1">
        <w:rPr>
          <w:rFonts w:ascii="Arial" w:hAnsi="Arial" w:cs="Arial"/>
        </w:rPr>
        <w:t>14.04.2025</w:t>
      </w:r>
      <w:r w:rsidRPr="005F13B1">
        <w:rPr>
          <w:rFonts w:ascii="Arial" w:hAnsi="Arial" w:cs="Arial"/>
        </w:rPr>
        <w:t xml:space="preserve"> ein Urteil verkündet. Beide legen rechtzeitig Rechtsmittel ein. </w:t>
      </w:r>
      <w:r w:rsidRPr="005F13B1">
        <w:rPr>
          <w:rFonts w:ascii="Arial" w:hAnsi="Arial" w:cs="Arial"/>
        </w:rPr>
        <w:t xml:space="preserve">Uwe </w:t>
      </w:r>
      <w:r w:rsidRPr="005F13B1">
        <w:rPr>
          <w:rFonts w:ascii="Arial" w:hAnsi="Arial" w:cs="Arial"/>
        </w:rPr>
        <w:t xml:space="preserve">erscheint zum Berufungstermin nicht. Seine Berufung wird durch Urteil zugestellt am </w:t>
      </w:r>
      <w:r w:rsidRPr="005F13B1">
        <w:rPr>
          <w:rFonts w:ascii="Arial" w:hAnsi="Arial" w:cs="Arial"/>
        </w:rPr>
        <w:t>16.07.2025</w:t>
      </w:r>
      <w:r w:rsidRPr="005F13B1">
        <w:rPr>
          <w:rFonts w:ascii="Arial" w:hAnsi="Arial" w:cs="Arial"/>
        </w:rPr>
        <w:t xml:space="preserve"> verworfen. J</w:t>
      </w:r>
      <w:r w:rsidRPr="005F13B1">
        <w:rPr>
          <w:rFonts w:ascii="Arial" w:hAnsi="Arial" w:cs="Arial"/>
        </w:rPr>
        <w:t>annick</w:t>
      </w:r>
      <w:r w:rsidRPr="005F13B1">
        <w:rPr>
          <w:rFonts w:ascii="Arial" w:hAnsi="Arial" w:cs="Arial"/>
        </w:rPr>
        <w:t xml:space="preserve"> nimmt seinen Einspruch im Termin am </w:t>
      </w:r>
      <w:r w:rsidRPr="005F13B1">
        <w:rPr>
          <w:rFonts w:ascii="Arial" w:hAnsi="Arial" w:cs="Arial"/>
        </w:rPr>
        <w:t>26.06.2025</w:t>
      </w:r>
      <w:r w:rsidRPr="005F13B1">
        <w:rPr>
          <w:rFonts w:ascii="Arial" w:hAnsi="Arial" w:cs="Arial"/>
        </w:rPr>
        <w:t xml:space="preserve"> zurück.</w:t>
      </w:r>
    </w:p>
    <w:p w14:paraId="4CAAC700" w14:textId="77777777" w:rsidR="00CC601A" w:rsidRDefault="00CC601A"/>
    <w:sectPr w:rsidR="00CC60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B1FCF"/>
    <w:multiLevelType w:val="hybridMultilevel"/>
    <w:tmpl w:val="5516C8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543D9"/>
    <w:multiLevelType w:val="hybridMultilevel"/>
    <w:tmpl w:val="27D0B94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180549">
    <w:abstractNumId w:val="0"/>
  </w:num>
  <w:num w:numId="2" w16cid:durableId="201553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01A"/>
    <w:rsid w:val="003E0638"/>
    <w:rsid w:val="005B15A2"/>
    <w:rsid w:val="005F13B1"/>
    <w:rsid w:val="00A656E7"/>
    <w:rsid w:val="00C01988"/>
    <w:rsid w:val="00CC601A"/>
    <w:rsid w:val="00EB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5DA45"/>
  <w15:chartTrackingRefBased/>
  <w15:docId w15:val="{BEBF76F8-AF58-4CA1-AEEF-BA834E74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C60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C6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C60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C60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C60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C60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C60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C60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C60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C60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C60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C60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C601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C601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C601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C601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C601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C601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C60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C6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C60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C6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C6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C601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C601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C601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C60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C601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C60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Demski, Patrick</dc:creator>
  <cp:keywords/>
  <dc:description/>
  <cp:lastModifiedBy>Demski, Patrick</cp:lastModifiedBy>
  <cp:revision>1</cp:revision>
  <cp:lastPrinted>2025-12-10T09:00:00Z</cp:lastPrinted>
  <dcterms:created xsi:type="dcterms:W3CDTF">2025-12-10T08:39:00Z</dcterms:created>
  <dcterms:modified xsi:type="dcterms:W3CDTF">2025-12-10T09:00:00Z</dcterms:modified>
</cp:coreProperties>
</file>