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B45CA" w14:textId="38CBF195" w:rsidR="00CC1F4B" w:rsidRPr="008536A3" w:rsidRDefault="009249AD" w:rsidP="00F535B6">
      <w:pPr>
        <w:spacing w:after="0" w:line="240" w:lineRule="auto"/>
        <w:jc w:val="center"/>
        <w:rPr>
          <w:rFonts w:ascii="Arial" w:hAnsi="Arial" w:cs="Arial"/>
          <w:b/>
        </w:rPr>
      </w:pPr>
      <w:r>
        <w:rPr>
          <w:rFonts w:ascii="Arial" w:hAnsi="Arial" w:cs="Arial"/>
          <w:b/>
        </w:rPr>
        <w:t>Lösungsvorschlag zur Aufgabe 3 Übungsblatt VI (Berufung)</w:t>
      </w:r>
    </w:p>
    <w:p w14:paraId="07E13159" w14:textId="77777777" w:rsidR="008536A3" w:rsidRPr="008536A3" w:rsidRDefault="008536A3" w:rsidP="00F535B6">
      <w:pPr>
        <w:spacing w:after="0" w:line="240" w:lineRule="auto"/>
        <w:jc w:val="center"/>
        <w:rPr>
          <w:rFonts w:ascii="Arial" w:hAnsi="Arial" w:cs="Arial"/>
        </w:rPr>
      </w:pPr>
    </w:p>
    <w:p w14:paraId="64E66FBC" w14:textId="2327F9D0" w:rsidR="00B83A0A" w:rsidRDefault="0066680B" w:rsidP="00B83A0A">
      <w:pPr>
        <w:jc w:val="both"/>
        <w:rPr>
          <w:rFonts w:ascii="Arial" w:hAnsi="Arial" w:cs="Arial"/>
          <w:b/>
          <w:u w:val="single"/>
        </w:rPr>
      </w:pPr>
      <w:r>
        <w:rPr>
          <w:rFonts w:ascii="Arial" w:hAnsi="Arial" w:cs="Arial"/>
          <w:b/>
          <w:u w:val="single"/>
        </w:rPr>
        <w:t>Aufgabe 3</w:t>
      </w:r>
    </w:p>
    <w:p w14:paraId="77595935" w14:textId="77777777" w:rsidR="00253C56" w:rsidRDefault="00253C56" w:rsidP="00B83A0A">
      <w:pPr>
        <w:jc w:val="both"/>
        <w:rPr>
          <w:rFonts w:ascii="Arial" w:hAnsi="Arial" w:cs="Arial"/>
        </w:rPr>
      </w:pPr>
      <w:r>
        <w:rPr>
          <w:rFonts w:ascii="Arial" w:hAnsi="Arial" w:cs="Arial"/>
        </w:rPr>
        <w:t>K verklagt B auf Zahlung von 6.000 EUR. Das erstinstanzliche Gericht erkennt dem Kläger durch Urteil 5.500 EUR zu und weist die darüberhinausgehende Klage ab.</w:t>
      </w:r>
    </w:p>
    <w:p w14:paraId="39C04542" w14:textId="77777777" w:rsidR="00253C56" w:rsidRDefault="00253C56" w:rsidP="00B83A0A">
      <w:pPr>
        <w:jc w:val="both"/>
        <w:rPr>
          <w:rFonts w:ascii="Arial" w:hAnsi="Arial" w:cs="Arial"/>
        </w:rPr>
      </w:pPr>
      <w:r>
        <w:rPr>
          <w:rFonts w:ascii="Arial" w:hAnsi="Arial" w:cs="Arial"/>
        </w:rPr>
        <w:t>Der Beklagte legt gegen das Urteil Berufung ein und beantragt, die Klage vollumfänglich abzuweisen. Der Kläger schließt sich der Berufung des Beklagten an und beantragt, ihm die restlichen 500 EUR zuzuerkennen.</w:t>
      </w:r>
    </w:p>
    <w:p w14:paraId="202DCA52" w14:textId="77777777" w:rsidR="00253C56" w:rsidRDefault="00253C56" w:rsidP="00253C56">
      <w:pPr>
        <w:pStyle w:val="Listenabsatz"/>
        <w:numPr>
          <w:ilvl w:val="0"/>
          <w:numId w:val="18"/>
        </w:numPr>
        <w:jc w:val="both"/>
        <w:rPr>
          <w:rFonts w:ascii="Arial" w:hAnsi="Arial" w:cs="Arial"/>
          <w:b/>
        </w:rPr>
      </w:pPr>
      <w:r>
        <w:rPr>
          <w:rFonts w:ascii="Arial" w:hAnsi="Arial" w:cs="Arial"/>
          <w:b/>
        </w:rPr>
        <w:t>Fertigen Sie die Kostenrechnung unter betragsmäßiger Angabe der Mithaft.</w:t>
      </w:r>
    </w:p>
    <w:p w14:paraId="6597B69F" w14:textId="77777777" w:rsidR="008708AA" w:rsidRDefault="008708AA" w:rsidP="008708AA">
      <w:pPr>
        <w:jc w:val="both"/>
        <w:rPr>
          <w:rFonts w:ascii="Arial" w:hAnsi="Arial" w:cs="Arial"/>
          <w:b/>
        </w:rPr>
      </w:pPr>
    </w:p>
    <w:tbl>
      <w:tblPr>
        <w:tblStyle w:val="Tabellenraster"/>
        <w:tblW w:w="0" w:type="auto"/>
        <w:tblLayout w:type="fixed"/>
        <w:tblLook w:val="04A0" w:firstRow="1" w:lastRow="0" w:firstColumn="1" w:lastColumn="0" w:noHBand="0" w:noVBand="1"/>
      </w:tblPr>
      <w:tblGrid>
        <w:gridCol w:w="1326"/>
        <w:gridCol w:w="937"/>
        <w:gridCol w:w="1134"/>
        <w:gridCol w:w="1701"/>
        <w:gridCol w:w="1985"/>
        <w:gridCol w:w="1979"/>
      </w:tblGrid>
      <w:tr w:rsidR="008708AA" w14:paraId="35102D10" w14:textId="77777777" w:rsidTr="008708AA">
        <w:tc>
          <w:tcPr>
            <w:tcW w:w="1326" w:type="dxa"/>
            <w:vMerge w:val="restart"/>
          </w:tcPr>
          <w:p w14:paraId="6C945F01" w14:textId="7A2F0E0C" w:rsidR="008708AA" w:rsidRDefault="008708AA" w:rsidP="008708AA">
            <w:pPr>
              <w:jc w:val="both"/>
              <w:rPr>
                <w:rFonts w:ascii="Arial" w:hAnsi="Arial" w:cs="Arial"/>
                <w:b/>
              </w:rPr>
            </w:pPr>
            <w:r>
              <w:rPr>
                <w:rFonts w:ascii="Arial" w:hAnsi="Arial" w:cs="Arial"/>
                <w:b/>
              </w:rPr>
              <w:t>Tatbestand</w:t>
            </w:r>
          </w:p>
        </w:tc>
        <w:tc>
          <w:tcPr>
            <w:tcW w:w="937" w:type="dxa"/>
            <w:vMerge w:val="restart"/>
          </w:tcPr>
          <w:p w14:paraId="130D9530" w14:textId="7CE6547F" w:rsidR="008708AA" w:rsidRDefault="008708AA" w:rsidP="008708AA">
            <w:pPr>
              <w:jc w:val="both"/>
              <w:rPr>
                <w:rFonts w:ascii="Arial" w:hAnsi="Arial" w:cs="Arial"/>
                <w:b/>
              </w:rPr>
            </w:pPr>
            <w:r>
              <w:rPr>
                <w:rFonts w:ascii="Arial" w:hAnsi="Arial" w:cs="Arial"/>
                <w:b/>
              </w:rPr>
              <w:t>KV-Nr.:</w:t>
            </w:r>
          </w:p>
        </w:tc>
        <w:tc>
          <w:tcPr>
            <w:tcW w:w="1134" w:type="dxa"/>
            <w:vMerge w:val="restart"/>
          </w:tcPr>
          <w:p w14:paraId="0B21149A" w14:textId="3562C2AB" w:rsidR="008708AA" w:rsidRDefault="008708AA" w:rsidP="008708AA">
            <w:pPr>
              <w:jc w:val="both"/>
              <w:rPr>
                <w:rFonts w:ascii="Arial" w:hAnsi="Arial" w:cs="Arial"/>
                <w:b/>
              </w:rPr>
            </w:pPr>
            <w:r>
              <w:rPr>
                <w:rFonts w:ascii="Arial" w:hAnsi="Arial" w:cs="Arial"/>
                <w:b/>
              </w:rPr>
              <w:t>Wert</w:t>
            </w:r>
          </w:p>
        </w:tc>
        <w:tc>
          <w:tcPr>
            <w:tcW w:w="1701" w:type="dxa"/>
            <w:vMerge w:val="restart"/>
          </w:tcPr>
          <w:p w14:paraId="0F201A56" w14:textId="23288510" w:rsidR="008708AA" w:rsidRDefault="008708AA" w:rsidP="008708AA">
            <w:pPr>
              <w:jc w:val="both"/>
              <w:rPr>
                <w:rFonts w:ascii="Arial" w:hAnsi="Arial" w:cs="Arial"/>
                <w:b/>
              </w:rPr>
            </w:pPr>
            <w:r>
              <w:rPr>
                <w:rFonts w:ascii="Arial" w:hAnsi="Arial" w:cs="Arial"/>
                <w:b/>
              </w:rPr>
              <w:t>Betrag</w:t>
            </w:r>
          </w:p>
        </w:tc>
        <w:tc>
          <w:tcPr>
            <w:tcW w:w="3964" w:type="dxa"/>
            <w:gridSpan w:val="2"/>
          </w:tcPr>
          <w:p w14:paraId="38BC90EA" w14:textId="18BF2FC8" w:rsidR="008708AA" w:rsidRDefault="008708AA" w:rsidP="008708AA">
            <w:pPr>
              <w:jc w:val="center"/>
              <w:rPr>
                <w:rFonts w:ascii="Arial" w:hAnsi="Arial" w:cs="Arial"/>
                <w:b/>
              </w:rPr>
            </w:pPr>
            <w:r>
              <w:rPr>
                <w:rFonts w:ascii="Arial" w:hAnsi="Arial" w:cs="Arial"/>
                <w:b/>
              </w:rPr>
              <w:t>Mithaft</w:t>
            </w:r>
          </w:p>
        </w:tc>
      </w:tr>
      <w:tr w:rsidR="008708AA" w14:paraId="1B11BEE2" w14:textId="77777777" w:rsidTr="008708AA">
        <w:tc>
          <w:tcPr>
            <w:tcW w:w="1326" w:type="dxa"/>
            <w:vMerge/>
          </w:tcPr>
          <w:p w14:paraId="60C2FE49" w14:textId="77777777" w:rsidR="008708AA" w:rsidRDefault="008708AA" w:rsidP="008708AA">
            <w:pPr>
              <w:jc w:val="both"/>
              <w:rPr>
                <w:rFonts w:ascii="Arial" w:hAnsi="Arial" w:cs="Arial"/>
                <w:b/>
              </w:rPr>
            </w:pPr>
          </w:p>
        </w:tc>
        <w:tc>
          <w:tcPr>
            <w:tcW w:w="937" w:type="dxa"/>
            <w:vMerge/>
          </w:tcPr>
          <w:p w14:paraId="33A22617" w14:textId="77777777" w:rsidR="008708AA" w:rsidRDefault="008708AA" w:rsidP="008708AA">
            <w:pPr>
              <w:jc w:val="both"/>
              <w:rPr>
                <w:rFonts w:ascii="Arial" w:hAnsi="Arial" w:cs="Arial"/>
                <w:b/>
              </w:rPr>
            </w:pPr>
          </w:p>
        </w:tc>
        <w:tc>
          <w:tcPr>
            <w:tcW w:w="1134" w:type="dxa"/>
            <w:vMerge/>
          </w:tcPr>
          <w:p w14:paraId="6E9C0596" w14:textId="77777777" w:rsidR="008708AA" w:rsidRDefault="008708AA" w:rsidP="008708AA">
            <w:pPr>
              <w:jc w:val="both"/>
              <w:rPr>
                <w:rFonts w:ascii="Arial" w:hAnsi="Arial" w:cs="Arial"/>
                <w:b/>
              </w:rPr>
            </w:pPr>
          </w:p>
        </w:tc>
        <w:tc>
          <w:tcPr>
            <w:tcW w:w="1701" w:type="dxa"/>
            <w:vMerge/>
          </w:tcPr>
          <w:p w14:paraId="728F4566" w14:textId="77777777" w:rsidR="008708AA" w:rsidRDefault="008708AA" w:rsidP="008708AA">
            <w:pPr>
              <w:jc w:val="both"/>
              <w:rPr>
                <w:rFonts w:ascii="Arial" w:hAnsi="Arial" w:cs="Arial"/>
                <w:b/>
              </w:rPr>
            </w:pPr>
          </w:p>
        </w:tc>
        <w:tc>
          <w:tcPr>
            <w:tcW w:w="1985" w:type="dxa"/>
          </w:tcPr>
          <w:p w14:paraId="7D664845" w14:textId="0A7EA585" w:rsidR="008708AA" w:rsidRPr="008708AA" w:rsidRDefault="008708AA" w:rsidP="008708AA">
            <w:pPr>
              <w:jc w:val="both"/>
              <w:rPr>
                <w:rFonts w:ascii="Arial" w:hAnsi="Arial" w:cs="Arial"/>
              </w:rPr>
            </w:pPr>
            <w:r w:rsidRPr="008708AA">
              <w:rPr>
                <w:rFonts w:ascii="Arial" w:hAnsi="Arial" w:cs="Arial"/>
              </w:rPr>
              <w:t xml:space="preserve">Kläger, </w:t>
            </w:r>
            <w:r>
              <w:rPr>
                <w:rFonts w:ascii="Arial" w:hAnsi="Arial" w:cs="Arial"/>
              </w:rPr>
              <w:t xml:space="preserve">Berufungsbeklagter und </w:t>
            </w:r>
            <w:r w:rsidRPr="008708AA">
              <w:rPr>
                <w:rFonts w:ascii="Arial" w:hAnsi="Arial" w:cs="Arial"/>
              </w:rPr>
              <w:t>Anschlussberufungs</w:t>
            </w:r>
            <w:r>
              <w:rPr>
                <w:rFonts w:ascii="Arial" w:hAnsi="Arial" w:cs="Arial"/>
              </w:rPr>
              <w:t>kläger</w:t>
            </w:r>
          </w:p>
        </w:tc>
        <w:tc>
          <w:tcPr>
            <w:tcW w:w="1979" w:type="dxa"/>
          </w:tcPr>
          <w:p w14:paraId="57EF86C3" w14:textId="6832F3D0" w:rsidR="008708AA" w:rsidRPr="008708AA" w:rsidRDefault="008708AA" w:rsidP="008708AA">
            <w:pPr>
              <w:jc w:val="both"/>
              <w:rPr>
                <w:rFonts w:ascii="Arial" w:hAnsi="Arial" w:cs="Arial"/>
              </w:rPr>
            </w:pPr>
            <w:r w:rsidRPr="008708AA">
              <w:rPr>
                <w:rFonts w:ascii="Arial" w:hAnsi="Arial" w:cs="Arial"/>
              </w:rPr>
              <w:t xml:space="preserve">Beklagter, </w:t>
            </w:r>
            <w:r>
              <w:rPr>
                <w:rFonts w:ascii="Arial" w:hAnsi="Arial" w:cs="Arial"/>
              </w:rPr>
              <w:t>Berufungskläger und Anschlussberufungsbeklagter</w:t>
            </w:r>
          </w:p>
        </w:tc>
      </w:tr>
      <w:tr w:rsidR="008708AA" w:rsidRPr="008708AA" w14:paraId="7440FEE6" w14:textId="77777777" w:rsidTr="008708AA">
        <w:tc>
          <w:tcPr>
            <w:tcW w:w="1326" w:type="dxa"/>
          </w:tcPr>
          <w:p w14:paraId="303B768B" w14:textId="577E2BB8" w:rsidR="008708AA" w:rsidRPr="008708AA" w:rsidRDefault="008708AA" w:rsidP="008708AA">
            <w:pPr>
              <w:jc w:val="both"/>
              <w:rPr>
                <w:rFonts w:ascii="Arial" w:hAnsi="Arial" w:cs="Arial"/>
              </w:rPr>
            </w:pPr>
            <w:r w:rsidRPr="008708AA">
              <w:rPr>
                <w:rFonts w:ascii="Arial" w:hAnsi="Arial" w:cs="Arial"/>
              </w:rPr>
              <w:t>Verf. im Allg. (II. Instanz)</w:t>
            </w:r>
          </w:p>
        </w:tc>
        <w:tc>
          <w:tcPr>
            <w:tcW w:w="937" w:type="dxa"/>
          </w:tcPr>
          <w:p w14:paraId="743F8510" w14:textId="45D28D9D" w:rsidR="008708AA" w:rsidRPr="008708AA" w:rsidRDefault="008708AA" w:rsidP="008708AA">
            <w:pPr>
              <w:jc w:val="both"/>
              <w:rPr>
                <w:rFonts w:ascii="Arial" w:hAnsi="Arial" w:cs="Arial"/>
              </w:rPr>
            </w:pPr>
            <w:r>
              <w:rPr>
                <w:rFonts w:ascii="Arial" w:hAnsi="Arial" w:cs="Arial"/>
              </w:rPr>
              <w:t>1220</w:t>
            </w:r>
          </w:p>
        </w:tc>
        <w:tc>
          <w:tcPr>
            <w:tcW w:w="1134" w:type="dxa"/>
          </w:tcPr>
          <w:p w14:paraId="43E0BD75" w14:textId="226AF9E4" w:rsidR="008708AA" w:rsidRPr="008708AA" w:rsidRDefault="008708AA" w:rsidP="008708AA">
            <w:pPr>
              <w:jc w:val="both"/>
              <w:rPr>
                <w:rFonts w:ascii="Arial" w:hAnsi="Arial" w:cs="Arial"/>
              </w:rPr>
            </w:pPr>
            <w:r>
              <w:rPr>
                <w:rFonts w:ascii="Arial" w:hAnsi="Arial" w:cs="Arial"/>
              </w:rPr>
              <w:t>6.000</w:t>
            </w:r>
          </w:p>
        </w:tc>
        <w:tc>
          <w:tcPr>
            <w:tcW w:w="1701" w:type="dxa"/>
          </w:tcPr>
          <w:p w14:paraId="1FD11B15" w14:textId="23726E16" w:rsidR="008708AA" w:rsidRPr="008708AA" w:rsidRDefault="008708AA" w:rsidP="008708AA">
            <w:pPr>
              <w:jc w:val="both"/>
              <w:rPr>
                <w:rFonts w:ascii="Arial" w:hAnsi="Arial" w:cs="Arial"/>
              </w:rPr>
            </w:pPr>
            <w:r>
              <w:rPr>
                <w:rFonts w:ascii="Arial" w:hAnsi="Arial" w:cs="Arial"/>
              </w:rPr>
              <w:t>772</w:t>
            </w:r>
          </w:p>
        </w:tc>
        <w:tc>
          <w:tcPr>
            <w:tcW w:w="1985" w:type="dxa"/>
          </w:tcPr>
          <w:p w14:paraId="716401AC" w14:textId="77777777" w:rsidR="008708AA" w:rsidRDefault="008708AA" w:rsidP="008708AA">
            <w:pPr>
              <w:jc w:val="both"/>
              <w:rPr>
                <w:rFonts w:ascii="Arial" w:hAnsi="Arial" w:cs="Arial"/>
              </w:rPr>
            </w:pPr>
            <w:r>
              <w:rPr>
                <w:rFonts w:ascii="Arial" w:hAnsi="Arial" w:cs="Arial"/>
              </w:rPr>
              <w:t>160,00</w:t>
            </w:r>
          </w:p>
          <w:p w14:paraId="3408A57C" w14:textId="50EF15AB" w:rsidR="008708AA" w:rsidRPr="008708AA" w:rsidRDefault="008708AA" w:rsidP="008708AA">
            <w:pPr>
              <w:jc w:val="both"/>
              <w:rPr>
                <w:rFonts w:ascii="Arial" w:hAnsi="Arial" w:cs="Arial"/>
                <w:sz w:val="18"/>
                <w:szCs w:val="18"/>
              </w:rPr>
            </w:pPr>
            <w:r w:rsidRPr="008708AA">
              <w:rPr>
                <w:rFonts w:ascii="Arial" w:hAnsi="Arial" w:cs="Arial"/>
                <w:sz w:val="18"/>
                <w:szCs w:val="18"/>
              </w:rPr>
              <w:t>(4,0 Gebühr aus dem Wert der Anschlussberufung (500 €))</w:t>
            </w:r>
          </w:p>
        </w:tc>
        <w:tc>
          <w:tcPr>
            <w:tcW w:w="1979" w:type="dxa"/>
          </w:tcPr>
          <w:p w14:paraId="073E09A4" w14:textId="77777777" w:rsidR="008708AA" w:rsidRDefault="008708AA" w:rsidP="008708AA">
            <w:pPr>
              <w:jc w:val="both"/>
              <w:rPr>
                <w:rFonts w:ascii="Arial" w:hAnsi="Arial" w:cs="Arial"/>
              </w:rPr>
            </w:pPr>
            <w:r>
              <w:rPr>
                <w:rFonts w:ascii="Arial" w:hAnsi="Arial" w:cs="Arial"/>
              </w:rPr>
              <w:t>772,00</w:t>
            </w:r>
          </w:p>
          <w:p w14:paraId="4AC14A02" w14:textId="55A2E9DB" w:rsidR="008708AA" w:rsidRPr="008708AA" w:rsidRDefault="008708AA" w:rsidP="008708AA">
            <w:pPr>
              <w:jc w:val="both"/>
              <w:rPr>
                <w:rFonts w:ascii="Arial" w:hAnsi="Arial" w:cs="Arial"/>
                <w:sz w:val="18"/>
                <w:szCs w:val="18"/>
              </w:rPr>
            </w:pPr>
            <w:r w:rsidRPr="008708AA">
              <w:rPr>
                <w:rFonts w:ascii="Arial" w:hAnsi="Arial" w:cs="Arial"/>
                <w:sz w:val="18"/>
                <w:szCs w:val="18"/>
              </w:rPr>
              <w:t>(4,0 Gebühr aus dem Wert der Berufung (5.500 €))</w:t>
            </w:r>
          </w:p>
        </w:tc>
      </w:tr>
    </w:tbl>
    <w:p w14:paraId="1D538FA4" w14:textId="77777777" w:rsidR="008708AA" w:rsidRDefault="008708AA" w:rsidP="008708AA">
      <w:pPr>
        <w:jc w:val="both"/>
        <w:rPr>
          <w:rFonts w:ascii="Arial" w:hAnsi="Arial" w:cs="Arial"/>
          <w:b/>
        </w:rPr>
      </w:pPr>
    </w:p>
    <w:p w14:paraId="2A390014" w14:textId="6FC910F6" w:rsidR="00EE20DA" w:rsidRDefault="00EE20DA" w:rsidP="008708AA">
      <w:pPr>
        <w:jc w:val="both"/>
        <w:rPr>
          <w:rFonts w:ascii="Arial" w:hAnsi="Arial" w:cs="Arial"/>
          <w:b/>
        </w:rPr>
      </w:pPr>
      <w:r>
        <w:rPr>
          <w:rFonts w:ascii="Arial" w:hAnsi="Arial" w:cs="Arial"/>
          <w:b/>
        </w:rPr>
        <w:t>Bei wechselseitigen Rechtsmitteln ist die Kostenforderung prozentual nach den Streitwerten der Rechtsmittel (bzw. Anschlussrechtsmittel) zu bestimmen</w:t>
      </w:r>
      <w:r w:rsidR="00E46BB4">
        <w:rPr>
          <w:rFonts w:ascii="Arial" w:hAnsi="Arial" w:cs="Arial"/>
          <w:b/>
        </w:rPr>
        <w:t>. Der Wert der Anschlussberufung (500 €) ist mit 8% des Gesamtstreitwerts (6.000 €) zu bemesse. Der Berufungswert (5.500 €) entspricht 92% vom Gesamtwert.</w:t>
      </w:r>
    </w:p>
    <w:tbl>
      <w:tblPr>
        <w:tblStyle w:val="Tabellenraster"/>
        <w:tblW w:w="0" w:type="auto"/>
        <w:tblLook w:val="04A0" w:firstRow="1" w:lastRow="0" w:firstColumn="1" w:lastColumn="0" w:noHBand="0" w:noVBand="1"/>
      </w:tblPr>
      <w:tblGrid>
        <w:gridCol w:w="6941"/>
        <w:gridCol w:w="2121"/>
      </w:tblGrid>
      <w:tr w:rsidR="00EE20DA" w14:paraId="2AA999E2" w14:textId="77777777" w:rsidTr="00EE20DA">
        <w:tc>
          <w:tcPr>
            <w:tcW w:w="6941" w:type="dxa"/>
          </w:tcPr>
          <w:p w14:paraId="1864C05C" w14:textId="379C6F13" w:rsidR="00EE20DA" w:rsidRPr="00EE20DA" w:rsidRDefault="00E46BB4" w:rsidP="008708AA">
            <w:pPr>
              <w:jc w:val="both"/>
              <w:rPr>
                <w:rFonts w:ascii="Arial" w:hAnsi="Arial" w:cs="Arial"/>
              </w:rPr>
            </w:pPr>
            <w:r>
              <w:rPr>
                <w:rFonts w:ascii="Arial" w:hAnsi="Arial" w:cs="Arial"/>
              </w:rPr>
              <w:t>Der Kläger schuldet 8%:</w:t>
            </w:r>
          </w:p>
        </w:tc>
        <w:tc>
          <w:tcPr>
            <w:tcW w:w="2121" w:type="dxa"/>
          </w:tcPr>
          <w:p w14:paraId="6C343A33" w14:textId="0F2B8CFD" w:rsidR="00EE20DA" w:rsidRDefault="00E46BB4" w:rsidP="00E46BB4">
            <w:pPr>
              <w:jc w:val="right"/>
              <w:rPr>
                <w:rFonts w:ascii="Arial" w:hAnsi="Arial" w:cs="Arial"/>
                <w:b/>
              </w:rPr>
            </w:pPr>
            <w:r>
              <w:rPr>
                <w:rFonts w:ascii="Arial" w:hAnsi="Arial" w:cs="Arial"/>
                <w:b/>
              </w:rPr>
              <w:t>61,76</w:t>
            </w:r>
          </w:p>
        </w:tc>
      </w:tr>
      <w:tr w:rsidR="00E46BB4" w14:paraId="2800092C" w14:textId="77777777" w:rsidTr="00EE20DA">
        <w:tc>
          <w:tcPr>
            <w:tcW w:w="6941" w:type="dxa"/>
          </w:tcPr>
          <w:p w14:paraId="3F22FF60" w14:textId="2BDCD602" w:rsidR="00E46BB4" w:rsidRDefault="00E46BB4" w:rsidP="008708AA">
            <w:pPr>
              <w:jc w:val="both"/>
              <w:rPr>
                <w:rFonts w:ascii="Arial" w:hAnsi="Arial" w:cs="Arial"/>
              </w:rPr>
            </w:pPr>
            <w:r>
              <w:rPr>
                <w:rFonts w:ascii="Arial" w:hAnsi="Arial" w:cs="Arial"/>
              </w:rPr>
              <w:t>Der Beklagte schuldet 92%:</w:t>
            </w:r>
          </w:p>
        </w:tc>
        <w:tc>
          <w:tcPr>
            <w:tcW w:w="2121" w:type="dxa"/>
          </w:tcPr>
          <w:p w14:paraId="3CABDB12" w14:textId="7A0EFBBF" w:rsidR="00E46BB4" w:rsidRDefault="00E46BB4" w:rsidP="00E46BB4">
            <w:pPr>
              <w:jc w:val="right"/>
              <w:rPr>
                <w:rFonts w:ascii="Arial" w:hAnsi="Arial" w:cs="Arial"/>
                <w:b/>
              </w:rPr>
            </w:pPr>
            <w:r>
              <w:rPr>
                <w:rFonts w:ascii="Arial" w:hAnsi="Arial" w:cs="Arial"/>
                <w:b/>
              </w:rPr>
              <w:t>710,24</w:t>
            </w:r>
          </w:p>
        </w:tc>
      </w:tr>
    </w:tbl>
    <w:p w14:paraId="4E3EB539" w14:textId="77777777" w:rsidR="00EE20DA" w:rsidRDefault="00EE20DA" w:rsidP="008708AA">
      <w:pPr>
        <w:jc w:val="both"/>
        <w:rPr>
          <w:rFonts w:ascii="Arial" w:hAnsi="Arial" w:cs="Arial"/>
          <w:b/>
        </w:rPr>
      </w:pPr>
    </w:p>
    <w:tbl>
      <w:tblPr>
        <w:tblStyle w:val="Tabellenraster"/>
        <w:tblW w:w="0" w:type="auto"/>
        <w:tblLook w:val="04A0" w:firstRow="1" w:lastRow="0" w:firstColumn="1" w:lastColumn="0" w:noHBand="0" w:noVBand="1"/>
      </w:tblPr>
      <w:tblGrid>
        <w:gridCol w:w="1413"/>
        <w:gridCol w:w="7649"/>
      </w:tblGrid>
      <w:tr w:rsidR="00E46BB4" w14:paraId="149BD447" w14:textId="77777777" w:rsidTr="009C0420">
        <w:tc>
          <w:tcPr>
            <w:tcW w:w="1413" w:type="dxa"/>
          </w:tcPr>
          <w:p w14:paraId="07AB1AE3" w14:textId="77777777" w:rsidR="00E46BB4" w:rsidRPr="00E46BB4" w:rsidRDefault="00E46BB4" w:rsidP="009C0420">
            <w:pPr>
              <w:jc w:val="center"/>
              <w:rPr>
                <w:rFonts w:ascii="Arial" w:hAnsi="Arial" w:cs="Arial"/>
                <w:b/>
              </w:rPr>
            </w:pPr>
            <w:r w:rsidRPr="00E46BB4">
              <w:rPr>
                <w:rFonts w:ascii="Arial" w:hAnsi="Arial" w:cs="Arial"/>
                <w:b/>
              </w:rPr>
              <w:t>A</w:t>
            </w:r>
          </w:p>
        </w:tc>
        <w:tc>
          <w:tcPr>
            <w:tcW w:w="7649" w:type="dxa"/>
          </w:tcPr>
          <w:p w14:paraId="4A333627" w14:textId="77777777" w:rsidR="00E46BB4" w:rsidRPr="00E46BB4" w:rsidRDefault="00E46BB4" w:rsidP="009C0420">
            <w:pPr>
              <w:jc w:val="both"/>
              <w:rPr>
                <w:rFonts w:ascii="Arial" w:hAnsi="Arial" w:cs="Arial"/>
              </w:rPr>
            </w:pPr>
            <w:r w:rsidRPr="00E46BB4">
              <w:rPr>
                <w:rFonts w:ascii="Arial" w:hAnsi="Arial" w:cs="Arial"/>
              </w:rPr>
              <w:t>Die Fälligkeit tritt gem. § 6 Abs. 1 S. 1 Nr. 1 GKG mit Eingang der Berufungsschrift ein.</w:t>
            </w:r>
          </w:p>
          <w:p w14:paraId="29B15F25" w14:textId="77777777" w:rsidR="00E46BB4" w:rsidRPr="00E46BB4" w:rsidRDefault="00E46BB4" w:rsidP="009C0420">
            <w:pPr>
              <w:jc w:val="both"/>
              <w:rPr>
                <w:rFonts w:ascii="Arial" w:hAnsi="Arial" w:cs="Arial"/>
              </w:rPr>
            </w:pPr>
          </w:p>
        </w:tc>
      </w:tr>
      <w:tr w:rsidR="00E46BB4" w14:paraId="315149F5" w14:textId="77777777" w:rsidTr="009C0420">
        <w:tc>
          <w:tcPr>
            <w:tcW w:w="1413" w:type="dxa"/>
          </w:tcPr>
          <w:p w14:paraId="392B665C" w14:textId="77777777" w:rsidR="00E46BB4" w:rsidRPr="00E46BB4" w:rsidRDefault="00E46BB4" w:rsidP="009C0420">
            <w:pPr>
              <w:jc w:val="center"/>
              <w:rPr>
                <w:rFonts w:ascii="Arial" w:hAnsi="Arial" w:cs="Arial"/>
                <w:b/>
              </w:rPr>
            </w:pPr>
            <w:r w:rsidRPr="00E46BB4">
              <w:rPr>
                <w:rFonts w:ascii="Arial" w:hAnsi="Arial" w:cs="Arial"/>
                <w:b/>
              </w:rPr>
              <w:t>B</w:t>
            </w:r>
          </w:p>
        </w:tc>
        <w:tc>
          <w:tcPr>
            <w:tcW w:w="7649" w:type="dxa"/>
          </w:tcPr>
          <w:p w14:paraId="33A72D14" w14:textId="77777777" w:rsidR="00E46BB4" w:rsidRPr="00E46BB4" w:rsidRDefault="00E46BB4" w:rsidP="00E46BB4">
            <w:pPr>
              <w:jc w:val="both"/>
              <w:rPr>
                <w:rFonts w:ascii="Arial" w:hAnsi="Arial" w:cs="Arial"/>
              </w:rPr>
            </w:pPr>
            <w:r w:rsidRPr="00E46BB4">
              <w:rPr>
                <w:rFonts w:ascii="Arial" w:hAnsi="Arial" w:cs="Arial"/>
              </w:rPr>
              <w:t>Kostenschuldner sind gem. § 22 Abs. 1 S. 1 GKG der Kläger und Beklagter als (Anschluss-)Rechtsmittelführer.</w:t>
            </w:r>
          </w:p>
          <w:p w14:paraId="6D715EDE" w14:textId="7B958F4B" w:rsidR="00E46BB4" w:rsidRPr="00E46BB4" w:rsidRDefault="00E46BB4" w:rsidP="00E46BB4">
            <w:pPr>
              <w:jc w:val="both"/>
              <w:rPr>
                <w:rFonts w:ascii="Arial" w:hAnsi="Arial" w:cs="Arial"/>
              </w:rPr>
            </w:pPr>
            <w:r w:rsidRPr="00E46BB4">
              <w:rPr>
                <w:rFonts w:ascii="Arial" w:hAnsi="Arial" w:cs="Arial"/>
              </w:rPr>
              <w:t xml:space="preserve"> </w:t>
            </w:r>
          </w:p>
        </w:tc>
      </w:tr>
      <w:tr w:rsidR="00E46BB4" w14:paraId="0A0F18D9" w14:textId="77777777" w:rsidTr="009C0420">
        <w:tc>
          <w:tcPr>
            <w:tcW w:w="1413" w:type="dxa"/>
          </w:tcPr>
          <w:p w14:paraId="168F17A5" w14:textId="7D6097FA" w:rsidR="00E46BB4" w:rsidRPr="00E46BB4" w:rsidRDefault="00E46BB4" w:rsidP="009C0420">
            <w:pPr>
              <w:jc w:val="center"/>
              <w:rPr>
                <w:rFonts w:ascii="Arial" w:hAnsi="Arial" w:cs="Arial"/>
                <w:b/>
              </w:rPr>
            </w:pPr>
            <w:r w:rsidRPr="00E46BB4">
              <w:rPr>
                <w:rFonts w:ascii="Arial" w:hAnsi="Arial" w:cs="Arial"/>
                <w:b/>
              </w:rPr>
              <w:t>C</w:t>
            </w:r>
          </w:p>
        </w:tc>
        <w:tc>
          <w:tcPr>
            <w:tcW w:w="7649" w:type="dxa"/>
          </w:tcPr>
          <w:p w14:paraId="0A8ACE0A" w14:textId="084BCE82" w:rsidR="00E46BB4" w:rsidRPr="00E46BB4" w:rsidRDefault="00E46BB4" w:rsidP="009C0420">
            <w:pPr>
              <w:jc w:val="both"/>
              <w:rPr>
                <w:rFonts w:ascii="Arial" w:hAnsi="Arial" w:cs="Arial"/>
              </w:rPr>
            </w:pPr>
            <w:r w:rsidRPr="00E46BB4">
              <w:rPr>
                <w:rFonts w:ascii="Arial" w:hAnsi="Arial" w:cs="Arial"/>
              </w:rPr>
              <w:t xml:space="preserve">Da eine Vorauszahlungspflicht im Berufungsverfahren grds. nicht besteht, wird der errechnete Kostenbetrag vom Kläger und Beklagten per Sollstellung gem. §§ 4 Abs. 2, 15 Abs. 1, 25 </w:t>
            </w:r>
            <w:r w:rsidR="00C116FC">
              <w:rPr>
                <w:rFonts w:ascii="Arial" w:hAnsi="Arial" w:cs="Arial"/>
              </w:rPr>
              <w:t>KostVfg</w:t>
            </w:r>
            <w:r w:rsidRPr="00E46BB4">
              <w:rPr>
                <w:rFonts w:ascii="Arial" w:hAnsi="Arial" w:cs="Arial"/>
              </w:rPr>
              <w:t xml:space="preserve"> angefordert.</w:t>
            </w:r>
          </w:p>
        </w:tc>
      </w:tr>
    </w:tbl>
    <w:p w14:paraId="65965247" w14:textId="77777777" w:rsidR="00EE20DA" w:rsidRDefault="00EE20DA" w:rsidP="008708AA">
      <w:pPr>
        <w:jc w:val="both"/>
        <w:rPr>
          <w:rFonts w:ascii="Arial" w:hAnsi="Arial" w:cs="Arial"/>
          <w:b/>
        </w:rPr>
      </w:pPr>
    </w:p>
    <w:p w14:paraId="17B7815C" w14:textId="77777777" w:rsidR="00253C56" w:rsidRDefault="00253C56" w:rsidP="00253C56">
      <w:pPr>
        <w:jc w:val="both"/>
        <w:rPr>
          <w:rFonts w:ascii="Arial" w:hAnsi="Arial" w:cs="Arial"/>
        </w:rPr>
      </w:pPr>
      <w:r>
        <w:rPr>
          <w:rFonts w:ascii="Arial" w:hAnsi="Arial" w:cs="Arial"/>
        </w:rPr>
        <w:t>Nach Eingang der Berufungsbegründung des Beklagten erlässt das Berufungsgericht einen Hinweisbeschluss nach § 522 ZPO mit welchem es darauf aufmerksam macht, dass es beabsichtigt, die Berufung des Beklagten zurückzuweisen, da sie offensichtlich keine Aussicht auf Erfolg hat.</w:t>
      </w:r>
    </w:p>
    <w:p w14:paraId="75EA6A87" w14:textId="77777777" w:rsidR="00253C56" w:rsidRDefault="00253C56" w:rsidP="00253C56">
      <w:pPr>
        <w:jc w:val="both"/>
        <w:rPr>
          <w:rFonts w:ascii="Arial" w:hAnsi="Arial" w:cs="Arial"/>
        </w:rPr>
      </w:pPr>
      <w:r>
        <w:rPr>
          <w:rFonts w:ascii="Arial" w:hAnsi="Arial" w:cs="Arial"/>
        </w:rPr>
        <w:t>Daraufhin nimmt der Beklagte seine Berufung zurück. Mit Rücknahme der Berufung hat auch die Anschlussberufung des Klägers ihre Wirkung verloren, § 524 I IV ZPO. Das Gericht erlässt einen Beschluss nach § 516 III ZPO mit welchem es dem Beklagten und Berufungskläger die Kosten des Rechtsmittel</w:t>
      </w:r>
      <w:r w:rsidR="006B164E">
        <w:rPr>
          <w:rFonts w:ascii="Arial" w:hAnsi="Arial" w:cs="Arial"/>
        </w:rPr>
        <w:t>verfahrens</w:t>
      </w:r>
      <w:r>
        <w:rPr>
          <w:rFonts w:ascii="Arial" w:hAnsi="Arial" w:cs="Arial"/>
        </w:rPr>
        <w:t xml:space="preserve"> auferlegt.</w:t>
      </w:r>
    </w:p>
    <w:p w14:paraId="3D05C184" w14:textId="77777777" w:rsidR="00253C56" w:rsidRDefault="00253C56" w:rsidP="00253C56">
      <w:pPr>
        <w:pStyle w:val="Listenabsatz"/>
        <w:numPr>
          <w:ilvl w:val="0"/>
          <w:numId w:val="18"/>
        </w:numPr>
        <w:jc w:val="both"/>
        <w:rPr>
          <w:rFonts w:ascii="Arial" w:hAnsi="Arial" w:cs="Arial"/>
          <w:b/>
        </w:rPr>
      </w:pPr>
      <w:r>
        <w:rPr>
          <w:rFonts w:ascii="Arial" w:hAnsi="Arial" w:cs="Arial"/>
          <w:b/>
        </w:rPr>
        <w:lastRenderedPageBreak/>
        <w:t>Fertigen Sie Schlusskostenrechnung der Berufungsinstanz. Gehen Sie davon aus, dass der mit Aufgabenteil a) erforderte Kostenbetrag vom jeweiligen Kostenschuldner gezahlt worden ist.</w:t>
      </w:r>
    </w:p>
    <w:tbl>
      <w:tblPr>
        <w:tblStyle w:val="Tabellenraster"/>
        <w:tblW w:w="0" w:type="auto"/>
        <w:tblLayout w:type="fixed"/>
        <w:tblLook w:val="04A0" w:firstRow="1" w:lastRow="0" w:firstColumn="1" w:lastColumn="0" w:noHBand="0" w:noVBand="1"/>
      </w:tblPr>
      <w:tblGrid>
        <w:gridCol w:w="1326"/>
        <w:gridCol w:w="937"/>
        <w:gridCol w:w="1134"/>
        <w:gridCol w:w="1701"/>
        <w:gridCol w:w="1985"/>
        <w:gridCol w:w="1979"/>
      </w:tblGrid>
      <w:tr w:rsidR="00E46BB4" w14:paraId="707810A0" w14:textId="77777777" w:rsidTr="009C0420">
        <w:tc>
          <w:tcPr>
            <w:tcW w:w="1326" w:type="dxa"/>
            <w:vMerge w:val="restart"/>
          </w:tcPr>
          <w:p w14:paraId="72851F74" w14:textId="77777777" w:rsidR="00E46BB4" w:rsidRDefault="00E46BB4" w:rsidP="009C0420">
            <w:pPr>
              <w:jc w:val="both"/>
              <w:rPr>
                <w:rFonts w:ascii="Arial" w:hAnsi="Arial" w:cs="Arial"/>
                <w:b/>
              </w:rPr>
            </w:pPr>
            <w:r>
              <w:rPr>
                <w:rFonts w:ascii="Arial" w:hAnsi="Arial" w:cs="Arial"/>
                <w:b/>
              </w:rPr>
              <w:t>Tatbestand</w:t>
            </w:r>
          </w:p>
        </w:tc>
        <w:tc>
          <w:tcPr>
            <w:tcW w:w="937" w:type="dxa"/>
            <w:vMerge w:val="restart"/>
          </w:tcPr>
          <w:p w14:paraId="781496BB" w14:textId="77777777" w:rsidR="00E46BB4" w:rsidRDefault="00E46BB4" w:rsidP="009C0420">
            <w:pPr>
              <w:jc w:val="both"/>
              <w:rPr>
                <w:rFonts w:ascii="Arial" w:hAnsi="Arial" w:cs="Arial"/>
                <w:b/>
              </w:rPr>
            </w:pPr>
            <w:r>
              <w:rPr>
                <w:rFonts w:ascii="Arial" w:hAnsi="Arial" w:cs="Arial"/>
                <w:b/>
              </w:rPr>
              <w:t>KV-Nr.:</w:t>
            </w:r>
          </w:p>
        </w:tc>
        <w:tc>
          <w:tcPr>
            <w:tcW w:w="1134" w:type="dxa"/>
            <w:vMerge w:val="restart"/>
          </w:tcPr>
          <w:p w14:paraId="48E76BDC" w14:textId="77777777" w:rsidR="00E46BB4" w:rsidRDefault="00E46BB4" w:rsidP="009C0420">
            <w:pPr>
              <w:jc w:val="both"/>
              <w:rPr>
                <w:rFonts w:ascii="Arial" w:hAnsi="Arial" w:cs="Arial"/>
                <w:b/>
              </w:rPr>
            </w:pPr>
            <w:r>
              <w:rPr>
                <w:rFonts w:ascii="Arial" w:hAnsi="Arial" w:cs="Arial"/>
                <w:b/>
              </w:rPr>
              <w:t>Wert</w:t>
            </w:r>
          </w:p>
        </w:tc>
        <w:tc>
          <w:tcPr>
            <w:tcW w:w="1701" w:type="dxa"/>
            <w:vMerge w:val="restart"/>
          </w:tcPr>
          <w:p w14:paraId="7121AE5C" w14:textId="77777777" w:rsidR="00E46BB4" w:rsidRDefault="00E46BB4" w:rsidP="009C0420">
            <w:pPr>
              <w:jc w:val="both"/>
              <w:rPr>
                <w:rFonts w:ascii="Arial" w:hAnsi="Arial" w:cs="Arial"/>
                <w:b/>
              </w:rPr>
            </w:pPr>
            <w:r>
              <w:rPr>
                <w:rFonts w:ascii="Arial" w:hAnsi="Arial" w:cs="Arial"/>
                <w:b/>
              </w:rPr>
              <w:t>Betrag</w:t>
            </w:r>
          </w:p>
        </w:tc>
        <w:tc>
          <w:tcPr>
            <w:tcW w:w="3964" w:type="dxa"/>
            <w:gridSpan w:val="2"/>
          </w:tcPr>
          <w:p w14:paraId="342AFEA7" w14:textId="77777777" w:rsidR="00E46BB4" w:rsidRDefault="00E46BB4" w:rsidP="009C0420">
            <w:pPr>
              <w:jc w:val="center"/>
              <w:rPr>
                <w:rFonts w:ascii="Arial" w:hAnsi="Arial" w:cs="Arial"/>
                <w:b/>
              </w:rPr>
            </w:pPr>
            <w:r>
              <w:rPr>
                <w:rFonts w:ascii="Arial" w:hAnsi="Arial" w:cs="Arial"/>
                <w:b/>
              </w:rPr>
              <w:t>Mithaft</w:t>
            </w:r>
          </w:p>
        </w:tc>
      </w:tr>
      <w:tr w:rsidR="00E46BB4" w14:paraId="1BDF263B" w14:textId="77777777" w:rsidTr="009C0420">
        <w:tc>
          <w:tcPr>
            <w:tcW w:w="1326" w:type="dxa"/>
            <w:vMerge/>
          </w:tcPr>
          <w:p w14:paraId="4922C0A9" w14:textId="77777777" w:rsidR="00E46BB4" w:rsidRDefault="00E46BB4" w:rsidP="009C0420">
            <w:pPr>
              <w:jc w:val="both"/>
              <w:rPr>
                <w:rFonts w:ascii="Arial" w:hAnsi="Arial" w:cs="Arial"/>
                <w:b/>
              </w:rPr>
            </w:pPr>
          </w:p>
        </w:tc>
        <w:tc>
          <w:tcPr>
            <w:tcW w:w="937" w:type="dxa"/>
            <w:vMerge/>
          </w:tcPr>
          <w:p w14:paraId="5545FB05" w14:textId="77777777" w:rsidR="00E46BB4" w:rsidRDefault="00E46BB4" w:rsidP="009C0420">
            <w:pPr>
              <w:jc w:val="both"/>
              <w:rPr>
                <w:rFonts w:ascii="Arial" w:hAnsi="Arial" w:cs="Arial"/>
                <w:b/>
              </w:rPr>
            </w:pPr>
          </w:p>
        </w:tc>
        <w:tc>
          <w:tcPr>
            <w:tcW w:w="1134" w:type="dxa"/>
            <w:vMerge/>
          </w:tcPr>
          <w:p w14:paraId="78BBD0AB" w14:textId="77777777" w:rsidR="00E46BB4" w:rsidRDefault="00E46BB4" w:rsidP="009C0420">
            <w:pPr>
              <w:jc w:val="both"/>
              <w:rPr>
                <w:rFonts w:ascii="Arial" w:hAnsi="Arial" w:cs="Arial"/>
                <w:b/>
              </w:rPr>
            </w:pPr>
          </w:p>
        </w:tc>
        <w:tc>
          <w:tcPr>
            <w:tcW w:w="1701" w:type="dxa"/>
            <w:vMerge/>
          </w:tcPr>
          <w:p w14:paraId="584138DD" w14:textId="77777777" w:rsidR="00E46BB4" w:rsidRDefault="00E46BB4" w:rsidP="009C0420">
            <w:pPr>
              <w:jc w:val="both"/>
              <w:rPr>
                <w:rFonts w:ascii="Arial" w:hAnsi="Arial" w:cs="Arial"/>
                <w:b/>
              </w:rPr>
            </w:pPr>
          </w:p>
        </w:tc>
        <w:tc>
          <w:tcPr>
            <w:tcW w:w="1985" w:type="dxa"/>
          </w:tcPr>
          <w:p w14:paraId="592F6328" w14:textId="77777777" w:rsidR="00E46BB4" w:rsidRPr="008708AA" w:rsidRDefault="00E46BB4" w:rsidP="009C0420">
            <w:pPr>
              <w:jc w:val="both"/>
              <w:rPr>
                <w:rFonts w:ascii="Arial" w:hAnsi="Arial" w:cs="Arial"/>
              </w:rPr>
            </w:pPr>
            <w:r w:rsidRPr="008708AA">
              <w:rPr>
                <w:rFonts w:ascii="Arial" w:hAnsi="Arial" w:cs="Arial"/>
              </w:rPr>
              <w:t xml:space="preserve">Kläger, </w:t>
            </w:r>
            <w:r>
              <w:rPr>
                <w:rFonts w:ascii="Arial" w:hAnsi="Arial" w:cs="Arial"/>
              </w:rPr>
              <w:t xml:space="preserve">Berufungsbeklagter und </w:t>
            </w:r>
            <w:r w:rsidRPr="008708AA">
              <w:rPr>
                <w:rFonts w:ascii="Arial" w:hAnsi="Arial" w:cs="Arial"/>
              </w:rPr>
              <w:t>Anschlussberufungs</w:t>
            </w:r>
            <w:r>
              <w:rPr>
                <w:rFonts w:ascii="Arial" w:hAnsi="Arial" w:cs="Arial"/>
              </w:rPr>
              <w:t>kläger</w:t>
            </w:r>
          </w:p>
        </w:tc>
        <w:tc>
          <w:tcPr>
            <w:tcW w:w="1979" w:type="dxa"/>
          </w:tcPr>
          <w:p w14:paraId="09FBCC74" w14:textId="77777777" w:rsidR="00E46BB4" w:rsidRPr="008708AA" w:rsidRDefault="00E46BB4" w:rsidP="009C0420">
            <w:pPr>
              <w:jc w:val="both"/>
              <w:rPr>
                <w:rFonts w:ascii="Arial" w:hAnsi="Arial" w:cs="Arial"/>
              </w:rPr>
            </w:pPr>
            <w:r w:rsidRPr="008708AA">
              <w:rPr>
                <w:rFonts w:ascii="Arial" w:hAnsi="Arial" w:cs="Arial"/>
              </w:rPr>
              <w:t xml:space="preserve">Beklagter, </w:t>
            </w:r>
            <w:r>
              <w:rPr>
                <w:rFonts w:ascii="Arial" w:hAnsi="Arial" w:cs="Arial"/>
              </w:rPr>
              <w:t>Berufungskläger und Anschlussberufungsbeklagter</w:t>
            </w:r>
          </w:p>
        </w:tc>
      </w:tr>
      <w:tr w:rsidR="00E46BB4" w:rsidRPr="008708AA" w14:paraId="799E6073" w14:textId="77777777" w:rsidTr="009C0420">
        <w:tc>
          <w:tcPr>
            <w:tcW w:w="1326" w:type="dxa"/>
          </w:tcPr>
          <w:p w14:paraId="5ACA5FBA" w14:textId="3EE665E5" w:rsidR="00E46BB4" w:rsidRPr="008708AA" w:rsidRDefault="00E46BB4" w:rsidP="009C0420">
            <w:pPr>
              <w:jc w:val="both"/>
              <w:rPr>
                <w:rFonts w:ascii="Arial" w:hAnsi="Arial" w:cs="Arial"/>
              </w:rPr>
            </w:pPr>
            <w:r>
              <w:rPr>
                <w:rFonts w:ascii="Arial" w:hAnsi="Arial" w:cs="Arial"/>
              </w:rPr>
              <w:t>Verf. im Allg. (II. Instanz ermäßigt)</w:t>
            </w:r>
          </w:p>
        </w:tc>
        <w:tc>
          <w:tcPr>
            <w:tcW w:w="937" w:type="dxa"/>
          </w:tcPr>
          <w:p w14:paraId="20C7488D" w14:textId="6AFF1202" w:rsidR="00E46BB4" w:rsidRPr="008708AA" w:rsidRDefault="00E46BB4" w:rsidP="009C0420">
            <w:pPr>
              <w:jc w:val="both"/>
              <w:rPr>
                <w:rFonts w:ascii="Arial" w:hAnsi="Arial" w:cs="Arial"/>
              </w:rPr>
            </w:pPr>
            <w:r>
              <w:rPr>
                <w:rFonts w:ascii="Arial" w:hAnsi="Arial" w:cs="Arial"/>
              </w:rPr>
              <w:t>1222</w:t>
            </w:r>
          </w:p>
        </w:tc>
        <w:tc>
          <w:tcPr>
            <w:tcW w:w="1134" w:type="dxa"/>
          </w:tcPr>
          <w:p w14:paraId="183704DE" w14:textId="77777777" w:rsidR="00E46BB4" w:rsidRPr="008708AA" w:rsidRDefault="00E46BB4" w:rsidP="009C0420">
            <w:pPr>
              <w:jc w:val="both"/>
              <w:rPr>
                <w:rFonts w:ascii="Arial" w:hAnsi="Arial" w:cs="Arial"/>
              </w:rPr>
            </w:pPr>
            <w:r>
              <w:rPr>
                <w:rFonts w:ascii="Arial" w:hAnsi="Arial" w:cs="Arial"/>
              </w:rPr>
              <w:t>6.000</w:t>
            </w:r>
          </w:p>
        </w:tc>
        <w:tc>
          <w:tcPr>
            <w:tcW w:w="1701" w:type="dxa"/>
          </w:tcPr>
          <w:p w14:paraId="11C2829B" w14:textId="60B61A08" w:rsidR="00E46BB4" w:rsidRPr="008708AA" w:rsidRDefault="00E46BB4" w:rsidP="009C0420">
            <w:pPr>
              <w:jc w:val="both"/>
              <w:rPr>
                <w:rFonts w:ascii="Arial" w:hAnsi="Arial" w:cs="Arial"/>
              </w:rPr>
            </w:pPr>
            <w:r>
              <w:rPr>
                <w:rFonts w:ascii="Arial" w:hAnsi="Arial" w:cs="Arial"/>
              </w:rPr>
              <w:t>386,00</w:t>
            </w:r>
          </w:p>
        </w:tc>
        <w:tc>
          <w:tcPr>
            <w:tcW w:w="1985" w:type="dxa"/>
          </w:tcPr>
          <w:p w14:paraId="6E19327F" w14:textId="6354BEC9" w:rsidR="00E46BB4" w:rsidRDefault="00E46BB4" w:rsidP="009C0420">
            <w:pPr>
              <w:jc w:val="both"/>
              <w:rPr>
                <w:rFonts w:ascii="Arial" w:hAnsi="Arial" w:cs="Arial"/>
              </w:rPr>
            </w:pPr>
            <w:r>
              <w:rPr>
                <w:rFonts w:ascii="Arial" w:hAnsi="Arial" w:cs="Arial"/>
              </w:rPr>
              <w:t>80,00</w:t>
            </w:r>
          </w:p>
          <w:p w14:paraId="57B32932" w14:textId="4B1A0BA5" w:rsidR="00E46BB4" w:rsidRPr="008708AA" w:rsidRDefault="00E46BB4" w:rsidP="009C0420">
            <w:pPr>
              <w:jc w:val="both"/>
              <w:rPr>
                <w:rFonts w:ascii="Arial" w:hAnsi="Arial" w:cs="Arial"/>
                <w:sz w:val="18"/>
                <w:szCs w:val="18"/>
              </w:rPr>
            </w:pPr>
            <w:r w:rsidRPr="008708AA">
              <w:rPr>
                <w:rFonts w:ascii="Arial" w:hAnsi="Arial" w:cs="Arial"/>
                <w:sz w:val="18"/>
                <w:szCs w:val="18"/>
              </w:rPr>
              <w:t>(</w:t>
            </w:r>
            <w:r>
              <w:rPr>
                <w:rFonts w:ascii="Arial" w:hAnsi="Arial" w:cs="Arial"/>
                <w:sz w:val="18"/>
                <w:szCs w:val="18"/>
              </w:rPr>
              <w:t>2</w:t>
            </w:r>
            <w:r w:rsidRPr="008708AA">
              <w:rPr>
                <w:rFonts w:ascii="Arial" w:hAnsi="Arial" w:cs="Arial"/>
                <w:sz w:val="18"/>
                <w:szCs w:val="18"/>
              </w:rPr>
              <w:t>,0 Gebühr aus dem Wert der Anschlussberufung (500 €))</w:t>
            </w:r>
          </w:p>
        </w:tc>
        <w:tc>
          <w:tcPr>
            <w:tcW w:w="1979" w:type="dxa"/>
          </w:tcPr>
          <w:p w14:paraId="0F405522" w14:textId="7508DB4B" w:rsidR="00E46BB4" w:rsidRDefault="00E46BB4" w:rsidP="009C0420">
            <w:pPr>
              <w:jc w:val="both"/>
              <w:rPr>
                <w:rFonts w:ascii="Arial" w:hAnsi="Arial" w:cs="Arial"/>
              </w:rPr>
            </w:pPr>
            <w:r>
              <w:rPr>
                <w:rFonts w:ascii="Arial" w:hAnsi="Arial" w:cs="Arial"/>
              </w:rPr>
              <w:t>386,00</w:t>
            </w:r>
          </w:p>
          <w:p w14:paraId="320EB765" w14:textId="2F7F3503" w:rsidR="00E46BB4" w:rsidRPr="008708AA" w:rsidRDefault="00E46BB4" w:rsidP="009C0420">
            <w:pPr>
              <w:jc w:val="both"/>
              <w:rPr>
                <w:rFonts w:ascii="Arial" w:hAnsi="Arial" w:cs="Arial"/>
                <w:sz w:val="18"/>
                <w:szCs w:val="18"/>
              </w:rPr>
            </w:pPr>
            <w:r w:rsidRPr="008708AA">
              <w:rPr>
                <w:rFonts w:ascii="Arial" w:hAnsi="Arial" w:cs="Arial"/>
                <w:sz w:val="18"/>
                <w:szCs w:val="18"/>
              </w:rPr>
              <w:t>(</w:t>
            </w:r>
            <w:r>
              <w:rPr>
                <w:rFonts w:ascii="Arial" w:hAnsi="Arial" w:cs="Arial"/>
                <w:sz w:val="18"/>
                <w:szCs w:val="18"/>
              </w:rPr>
              <w:t>2</w:t>
            </w:r>
            <w:r w:rsidRPr="008708AA">
              <w:rPr>
                <w:rFonts w:ascii="Arial" w:hAnsi="Arial" w:cs="Arial"/>
                <w:sz w:val="18"/>
                <w:szCs w:val="18"/>
              </w:rPr>
              <w:t>,0 Gebühr aus dem Wert der Berufung (5.500 €))</w:t>
            </w:r>
          </w:p>
        </w:tc>
      </w:tr>
    </w:tbl>
    <w:p w14:paraId="595077A6" w14:textId="77777777" w:rsidR="00E46BB4" w:rsidRDefault="00E46BB4" w:rsidP="00E46BB4">
      <w:pPr>
        <w:jc w:val="both"/>
        <w:rPr>
          <w:rFonts w:ascii="Arial" w:hAnsi="Arial" w:cs="Arial"/>
          <w:b/>
        </w:rPr>
      </w:pPr>
    </w:p>
    <w:p w14:paraId="668A03DC" w14:textId="545CC623" w:rsidR="00E46BB4" w:rsidRDefault="00E46BB4" w:rsidP="00E46BB4">
      <w:pPr>
        <w:jc w:val="both"/>
        <w:rPr>
          <w:rFonts w:ascii="Arial" w:hAnsi="Arial" w:cs="Arial"/>
          <w:b/>
        </w:rPr>
      </w:pPr>
      <w:r>
        <w:rPr>
          <w:rFonts w:ascii="Arial" w:hAnsi="Arial" w:cs="Arial"/>
          <w:b/>
        </w:rPr>
        <w:t>Kostenschuld des Klägers:</w:t>
      </w:r>
      <w:r>
        <w:rPr>
          <w:rFonts w:ascii="Arial" w:hAnsi="Arial" w:cs="Arial"/>
          <w:b/>
        </w:rPr>
        <w:tab/>
      </w:r>
      <w:r>
        <w:rPr>
          <w:rFonts w:ascii="Arial" w:hAnsi="Arial" w:cs="Arial"/>
          <w:b/>
        </w:rPr>
        <w:tab/>
      </w:r>
      <w:r>
        <w:rPr>
          <w:rFonts w:ascii="Arial" w:hAnsi="Arial" w:cs="Arial"/>
          <w:b/>
        </w:rPr>
        <w:tab/>
      </w:r>
    </w:p>
    <w:tbl>
      <w:tblPr>
        <w:tblStyle w:val="Tabellenraster"/>
        <w:tblW w:w="0" w:type="auto"/>
        <w:tblLook w:val="04A0" w:firstRow="1" w:lastRow="0" w:firstColumn="1" w:lastColumn="0" w:noHBand="0" w:noVBand="1"/>
      </w:tblPr>
      <w:tblGrid>
        <w:gridCol w:w="7225"/>
        <w:gridCol w:w="1837"/>
      </w:tblGrid>
      <w:tr w:rsidR="00E46BB4" w14:paraId="2D858E6F" w14:textId="77777777" w:rsidTr="00E46BB4">
        <w:tc>
          <w:tcPr>
            <w:tcW w:w="7225" w:type="dxa"/>
          </w:tcPr>
          <w:p w14:paraId="5E2004EC" w14:textId="2D857515" w:rsidR="00E46BB4" w:rsidRPr="00E46BB4" w:rsidRDefault="00E46BB4" w:rsidP="00E46BB4">
            <w:pPr>
              <w:jc w:val="both"/>
              <w:rPr>
                <w:rFonts w:ascii="Arial" w:hAnsi="Arial" w:cs="Arial"/>
              </w:rPr>
            </w:pPr>
            <w:r w:rsidRPr="00E46BB4">
              <w:rPr>
                <w:rFonts w:ascii="Arial" w:hAnsi="Arial" w:cs="Arial"/>
              </w:rPr>
              <w:t>Der Kläger schuldet 0%</w:t>
            </w:r>
          </w:p>
        </w:tc>
        <w:tc>
          <w:tcPr>
            <w:tcW w:w="1837" w:type="dxa"/>
          </w:tcPr>
          <w:p w14:paraId="0D69C3B4" w14:textId="49B8522F" w:rsidR="00E46BB4" w:rsidRDefault="00E46BB4" w:rsidP="00E46BB4">
            <w:pPr>
              <w:jc w:val="right"/>
              <w:rPr>
                <w:rFonts w:ascii="Arial" w:hAnsi="Arial" w:cs="Arial"/>
                <w:b/>
              </w:rPr>
            </w:pPr>
            <w:r>
              <w:rPr>
                <w:rFonts w:ascii="Arial" w:hAnsi="Arial" w:cs="Arial"/>
                <w:b/>
              </w:rPr>
              <w:t>0,00</w:t>
            </w:r>
          </w:p>
        </w:tc>
      </w:tr>
      <w:tr w:rsidR="00E46BB4" w14:paraId="12376E5C" w14:textId="77777777" w:rsidTr="00E46BB4">
        <w:tc>
          <w:tcPr>
            <w:tcW w:w="7225" w:type="dxa"/>
          </w:tcPr>
          <w:p w14:paraId="0E335ECA" w14:textId="27E215AC" w:rsidR="00E46BB4" w:rsidRPr="00E46BB4" w:rsidRDefault="00E46BB4" w:rsidP="00E46BB4">
            <w:pPr>
              <w:jc w:val="both"/>
              <w:rPr>
                <w:rFonts w:ascii="Arial" w:hAnsi="Arial" w:cs="Arial"/>
              </w:rPr>
            </w:pPr>
            <w:r>
              <w:rPr>
                <w:rFonts w:ascii="Arial" w:hAnsi="Arial" w:cs="Arial"/>
              </w:rPr>
              <w:t>bereits gezahlt:</w:t>
            </w:r>
          </w:p>
        </w:tc>
        <w:tc>
          <w:tcPr>
            <w:tcW w:w="1837" w:type="dxa"/>
          </w:tcPr>
          <w:p w14:paraId="63C8321D" w14:textId="7F97166D" w:rsidR="00E46BB4" w:rsidRDefault="00E46BB4" w:rsidP="00E46BB4">
            <w:pPr>
              <w:jc w:val="right"/>
              <w:rPr>
                <w:rFonts w:ascii="Arial" w:hAnsi="Arial" w:cs="Arial"/>
                <w:b/>
              </w:rPr>
            </w:pPr>
            <w:r>
              <w:rPr>
                <w:rFonts w:ascii="Arial" w:hAnsi="Arial" w:cs="Arial"/>
                <w:b/>
              </w:rPr>
              <w:t>- 61,76</w:t>
            </w:r>
          </w:p>
        </w:tc>
      </w:tr>
      <w:tr w:rsidR="00E46BB4" w14:paraId="2B1DF7FE" w14:textId="77777777" w:rsidTr="00E46BB4">
        <w:tc>
          <w:tcPr>
            <w:tcW w:w="7225" w:type="dxa"/>
          </w:tcPr>
          <w:p w14:paraId="7AAB31E1" w14:textId="01F3E693" w:rsidR="00E46BB4" w:rsidRDefault="009F1666" w:rsidP="00E46BB4">
            <w:pPr>
              <w:jc w:val="both"/>
              <w:rPr>
                <w:rFonts w:ascii="Arial" w:hAnsi="Arial" w:cs="Arial"/>
              </w:rPr>
            </w:pPr>
            <w:r>
              <w:rPr>
                <w:rFonts w:ascii="Arial" w:hAnsi="Arial" w:cs="Arial"/>
              </w:rPr>
              <w:t>Überschuss</w:t>
            </w:r>
            <w:r w:rsidR="00E46BB4">
              <w:rPr>
                <w:rFonts w:ascii="Arial" w:hAnsi="Arial" w:cs="Arial"/>
              </w:rPr>
              <w:t>:</w:t>
            </w:r>
          </w:p>
        </w:tc>
        <w:tc>
          <w:tcPr>
            <w:tcW w:w="1837" w:type="dxa"/>
          </w:tcPr>
          <w:p w14:paraId="14A578F4" w14:textId="4B93C02D" w:rsidR="00E46BB4" w:rsidRDefault="00E46BB4" w:rsidP="00E46BB4">
            <w:pPr>
              <w:jc w:val="right"/>
              <w:rPr>
                <w:rFonts w:ascii="Arial" w:hAnsi="Arial" w:cs="Arial"/>
                <w:b/>
              </w:rPr>
            </w:pPr>
            <w:r>
              <w:rPr>
                <w:rFonts w:ascii="Arial" w:hAnsi="Arial" w:cs="Arial"/>
                <w:b/>
              </w:rPr>
              <w:t>0,00</w:t>
            </w:r>
          </w:p>
        </w:tc>
      </w:tr>
    </w:tbl>
    <w:p w14:paraId="5A9AF7C4" w14:textId="77777777" w:rsidR="00E46BB4" w:rsidRDefault="00E46BB4" w:rsidP="00E46BB4">
      <w:pPr>
        <w:jc w:val="both"/>
        <w:rPr>
          <w:rFonts w:ascii="Arial" w:hAnsi="Arial" w:cs="Arial"/>
          <w:b/>
        </w:rPr>
      </w:pPr>
    </w:p>
    <w:p w14:paraId="3772625A" w14:textId="71A641F9" w:rsidR="009F1666" w:rsidRDefault="009F1666" w:rsidP="00E46BB4">
      <w:pPr>
        <w:jc w:val="both"/>
        <w:rPr>
          <w:rFonts w:ascii="Arial" w:hAnsi="Arial" w:cs="Arial"/>
          <w:b/>
        </w:rPr>
      </w:pPr>
      <w:r>
        <w:rPr>
          <w:rFonts w:ascii="Arial" w:hAnsi="Arial" w:cs="Arial"/>
          <w:b/>
        </w:rPr>
        <w:t>Kostenschuld des Beklagten:</w:t>
      </w:r>
    </w:p>
    <w:tbl>
      <w:tblPr>
        <w:tblStyle w:val="Tabellenraster"/>
        <w:tblW w:w="0" w:type="auto"/>
        <w:tblLook w:val="04A0" w:firstRow="1" w:lastRow="0" w:firstColumn="1" w:lastColumn="0" w:noHBand="0" w:noVBand="1"/>
      </w:tblPr>
      <w:tblGrid>
        <w:gridCol w:w="7225"/>
        <w:gridCol w:w="1837"/>
      </w:tblGrid>
      <w:tr w:rsidR="009F1666" w14:paraId="1B86D960" w14:textId="77777777" w:rsidTr="009C0420">
        <w:tc>
          <w:tcPr>
            <w:tcW w:w="7225" w:type="dxa"/>
          </w:tcPr>
          <w:p w14:paraId="75DBCE90" w14:textId="1E623E3A" w:rsidR="009F1666" w:rsidRPr="00E46BB4" w:rsidRDefault="009F1666" w:rsidP="009C0420">
            <w:pPr>
              <w:jc w:val="both"/>
              <w:rPr>
                <w:rFonts w:ascii="Arial" w:hAnsi="Arial" w:cs="Arial"/>
              </w:rPr>
            </w:pPr>
            <w:r w:rsidRPr="00E46BB4">
              <w:rPr>
                <w:rFonts w:ascii="Arial" w:hAnsi="Arial" w:cs="Arial"/>
              </w:rPr>
              <w:t xml:space="preserve">Der </w:t>
            </w:r>
            <w:r>
              <w:rPr>
                <w:rFonts w:ascii="Arial" w:hAnsi="Arial" w:cs="Arial"/>
              </w:rPr>
              <w:t xml:space="preserve">Beklagte </w:t>
            </w:r>
            <w:r w:rsidRPr="00E46BB4">
              <w:rPr>
                <w:rFonts w:ascii="Arial" w:hAnsi="Arial" w:cs="Arial"/>
              </w:rPr>
              <w:t xml:space="preserve">schuldet </w:t>
            </w:r>
            <w:r>
              <w:rPr>
                <w:rFonts w:ascii="Arial" w:hAnsi="Arial" w:cs="Arial"/>
              </w:rPr>
              <w:t>10</w:t>
            </w:r>
            <w:r w:rsidRPr="00E46BB4">
              <w:rPr>
                <w:rFonts w:ascii="Arial" w:hAnsi="Arial" w:cs="Arial"/>
              </w:rPr>
              <w:t>0%</w:t>
            </w:r>
          </w:p>
        </w:tc>
        <w:tc>
          <w:tcPr>
            <w:tcW w:w="1837" w:type="dxa"/>
          </w:tcPr>
          <w:p w14:paraId="0C906BDE" w14:textId="57489956" w:rsidR="009F1666" w:rsidRDefault="009F1666" w:rsidP="009C0420">
            <w:pPr>
              <w:jc w:val="right"/>
              <w:rPr>
                <w:rFonts w:ascii="Arial" w:hAnsi="Arial" w:cs="Arial"/>
                <w:b/>
              </w:rPr>
            </w:pPr>
            <w:r>
              <w:rPr>
                <w:rFonts w:ascii="Arial" w:hAnsi="Arial" w:cs="Arial"/>
                <w:b/>
              </w:rPr>
              <w:t>386,00</w:t>
            </w:r>
          </w:p>
        </w:tc>
      </w:tr>
      <w:tr w:rsidR="009F1666" w14:paraId="6A31D54E" w14:textId="77777777" w:rsidTr="009C0420">
        <w:tc>
          <w:tcPr>
            <w:tcW w:w="7225" w:type="dxa"/>
          </w:tcPr>
          <w:p w14:paraId="1F4DF46B" w14:textId="27662D05" w:rsidR="009F1666" w:rsidRPr="00E46BB4" w:rsidRDefault="009F1666" w:rsidP="009C0420">
            <w:pPr>
              <w:jc w:val="both"/>
              <w:rPr>
                <w:rFonts w:ascii="Arial" w:hAnsi="Arial" w:cs="Arial"/>
              </w:rPr>
            </w:pPr>
            <w:r>
              <w:rPr>
                <w:rFonts w:ascii="Arial" w:hAnsi="Arial" w:cs="Arial"/>
              </w:rPr>
              <w:t>bereits gezahlt:</w:t>
            </w:r>
          </w:p>
        </w:tc>
        <w:tc>
          <w:tcPr>
            <w:tcW w:w="1837" w:type="dxa"/>
          </w:tcPr>
          <w:p w14:paraId="0CA67DB9" w14:textId="1064FFA5" w:rsidR="009F1666" w:rsidRDefault="009F1666" w:rsidP="009C0420">
            <w:pPr>
              <w:jc w:val="right"/>
              <w:rPr>
                <w:rFonts w:ascii="Arial" w:hAnsi="Arial" w:cs="Arial"/>
                <w:b/>
              </w:rPr>
            </w:pPr>
            <w:r>
              <w:rPr>
                <w:rFonts w:ascii="Arial" w:hAnsi="Arial" w:cs="Arial"/>
                <w:b/>
              </w:rPr>
              <w:t>- 710,24</w:t>
            </w:r>
          </w:p>
        </w:tc>
      </w:tr>
      <w:tr w:rsidR="009F1666" w14:paraId="18D25591" w14:textId="77777777" w:rsidTr="009C0420">
        <w:tc>
          <w:tcPr>
            <w:tcW w:w="7225" w:type="dxa"/>
          </w:tcPr>
          <w:p w14:paraId="3438F6BA" w14:textId="13324851" w:rsidR="009F1666" w:rsidRDefault="009F1666" w:rsidP="009C0420">
            <w:pPr>
              <w:jc w:val="both"/>
              <w:rPr>
                <w:rFonts w:ascii="Arial" w:hAnsi="Arial" w:cs="Arial"/>
              </w:rPr>
            </w:pPr>
            <w:r>
              <w:rPr>
                <w:rFonts w:ascii="Arial" w:hAnsi="Arial" w:cs="Arial"/>
              </w:rPr>
              <w:t>Überschuss:</w:t>
            </w:r>
          </w:p>
        </w:tc>
        <w:tc>
          <w:tcPr>
            <w:tcW w:w="1837" w:type="dxa"/>
          </w:tcPr>
          <w:p w14:paraId="085DFD7D" w14:textId="4163AC9F" w:rsidR="009F1666" w:rsidRDefault="009F1666" w:rsidP="009C0420">
            <w:pPr>
              <w:jc w:val="right"/>
              <w:rPr>
                <w:rFonts w:ascii="Arial" w:hAnsi="Arial" w:cs="Arial"/>
                <w:b/>
              </w:rPr>
            </w:pPr>
            <w:r>
              <w:rPr>
                <w:rFonts w:ascii="Arial" w:hAnsi="Arial" w:cs="Arial"/>
                <w:b/>
              </w:rPr>
              <w:t>324,24</w:t>
            </w:r>
          </w:p>
        </w:tc>
      </w:tr>
    </w:tbl>
    <w:p w14:paraId="689D4E90" w14:textId="77777777" w:rsidR="009F1666" w:rsidRDefault="009F1666" w:rsidP="00E46BB4">
      <w:pPr>
        <w:jc w:val="both"/>
        <w:rPr>
          <w:rFonts w:ascii="Arial" w:hAnsi="Arial" w:cs="Arial"/>
          <w:b/>
        </w:rPr>
      </w:pPr>
    </w:p>
    <w:p w14:paraId="3C835CC1" w14:textId="236E6200" w:rsidR="00EC0F15" w:rsidRPr="00820C7D" w:rsidRDefault="00EC0F15" w:rsidP="009249AD">
      <w:pPr>
        <w:rPr>
          <w:rFonts w:ascii="Arial" w:hAnsi="Arial" w:cs="Arial"/>
        </w:rPr>
      </w:pPr>
    </w:p>
    <w:sectPr w:rsidR="00EC0F15" w:rsidRPr="00820C7D">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E9070" w14:textId="77777777" w:rsidR="008B2C2F" w:rsidRDefault="008B2C2F" w:rsidP="008B2C2F">
      <w:pPr>
        <w:spacing w:after="0" w:line="240" w:lineRule="auto"/>
      </w:pPr>
      <w:r>
        <w:separator/>
      </w:r>
    </w:p>
  </w:endnote>
  <w:endnote w:type="continuationSeparator" w:id="0">
    <w:p w14:paraId="47650E91" w14:textId="77777777" w:rsidR="008B2C2F" w:rsidRDefault="008B2C2F" w:rsidP="008B2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F1718" w14:textId="77777777" w:rsidR="00086DA7" w:rsidRDefault="00086DA7">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E0C91" w14:textId="77777777" w:rsidR="008B2C2F" w:rsidRDefault="008B2C2F" w:rsidP="008B2C2F">
      <w:pPr>
        <w:spacing w:after="0" w:line="240" w:lineRule="auto"/>
      </w:pPr>
      <w:r>
        <w:separator/>
      </w:r>
    </w:p>
  </w:footnote>
  <w:footnote w:type="continuationSeparator" w:id="0">
    <w:p w14:paraId="321AE5C0" w14:textId="77777777" w:rsidR="008B2C2F" w:rsidRDefault="008B2C2F" w:rsidP="008B2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B2D03" w14:textId="77777777" w:rsidR="008B2C2F" w:rsidRPr="00007E48" w:rsidRDefault="00BA0F4A" w:rsidP="008B2C2F">
    <w:pPr>
      <w:pStyle w:val="Kopfzeile"/>
      <w:rPr>
        <w:rFonts w:ascii="Arial" w:hAnsi="Arial" w:cs="Arial"/>
        <w:sz w:val="20"/>
        <w:szCs w:val="20"/>
      </w:rPr>
    </w:pPr>
    <w:r>
      <w:rPr>
        <w:rFonts w:ascii="Arial" w:hAnsi="Arial" w:cs="Arial"/>
        <w:sz w:val="20"/>
        <w:szCs w:val="20"/>
      </w:rPr>
      <w:t>Übungsblatt (Kosten in ZP/ZV)</w:t>
    </w:r>
    <w:r>
      <w:rPr>
        <w:rFonts w:ascii="Arial" w:hAnsi="Arial" w:cs="Arial"/>
        <w:sz w:val="20"/>
        <w:szCs w:val="20"/>
      </w:rPr>
      <w:tab/>
    </w:r>
    <w:r>
      <w:rPr>
        <w:rFonts w:ascii="Arial" w:hAnsi="Arial" w:cs="Arial"/>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6FED"/>
    <w:multiLevelType w:val="hybridMultilevel"/>
    <w:tmpl w:val="F5FC5E2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9EE2025"/>
    <w:multiLevelType w:val="hybridMultilevel"/>
    <w:tmpl w:val="63866B1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C362404"/>
    <w:multiLevelType w:val="hybridMultilevel"/>
    <w:tmpl w:val="E2E4007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492676F"/>
    <w:multiLevelType w:val="hybridMultilevel"/>
    <w:tmpl w:val="24542C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5522043"/>
    <w:multiLevelType w:val="hybridMultilevel"/>
    <w:tmpl w:val="BB2AD19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6F2670A"/>
    <w:multiLevelType w:val="hybridMultilevel"/>
    <w:tmpl w:val="9A08B33C"/>
    <w:lvl w:ilvl="0" w:tplc="942E52E6">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F7B710E"/>
    <w:multiLevelType w:val="hybridMultilevel"/>
    <w:tmpl w:val="7CEA9EA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2B41605"/>
    <w:multiLevelType w:val="hybridMultilevel"/>
    <w:tmpl w:val="F5FC5E2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9BB2DF8"/>
    <w:multiLevelType w:val="hybridMultilevel"/>
    <w:tmpl w:val="BB2AD19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D2F11C7"/>
    <w:multiLevelType w:val="hybridMultilevel"/>
    <w:tmpl w:val="7CEA9EA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76B4E3E"/>
    <w:multiLevelType w:val="hybridMultilevel"/>
    <w:tmpl w:val="A210BC6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8EC76EC"/>
    <w:multiLevelType w:val="hybridMultilevel"/>
    <w:tmpl w:val="FEC69400"/>
    <w:lvl w:ilvl="0" w:tplc="92FEB0D2">
      <w:start w:val="1"/>
      <w:numFmt w:val="lowerLetter"/>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2" w15:restartNumberingAfterBreak="0">
    <w:nsid w:val="41EE766A"/>
    <w:multiLevelType w:val="hybridMultilevel"/>
    <w:tmpl w:val="0C00D8F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859300F"/>
    <w:multiLevelType w:val="hybridMultilevel"/>
    <w:tmpl w:val="43B0041E"/>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485C3DC6"/>
    <w:multiLevelType w:val="hybridMultilevel"/>
    <w:tmpl w:val="9A08B33C"/>
    <w:lvl w:ilvl="0" w:tplc="942E52E6">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FF47A05"/>
    <w:multiLevelType w:val="hybridMultilevel"/>
    <w:tmpl w:val="F9889FC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2821BEB"/>
    <w:multiLevelType w:val="hybridMultilevel"/>
    <w:tmpl w:val="7DF2418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52B26E8"/>
    <w:multiLevelType w:val="hybridMultilevel"/>
    <w:tmpl w:val="1CFC499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8586A73"/>
    <w:multiLevelType w:val="hybridMultilevel"/>
    <w:tmpl w:val="779627DC"/>
    <w:lvl w:ilvl="0" w:tplc="C254C6A6">
      <w:start w:val="1"/>
      <w:numFmt w:val="bullet"/>
      <w:lvlText w:val="-"/>
      <w:lvlJc w:val="left"/>
      <w:pPr>
        <w:ind w:left="405" w:hanging="360"/>
      </w:pPr>
      <w:rPr>
        <w:rFonts w:ascii="Arial" w:eastAsiaTheme="minorHAnsi" w:hAnsi="Arial" w:cs="Arial"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abstractNum w:abstractNumId="19" w15:restartNumberingAfterBreak="0">
    <w:nsid w:val="617E61A0"/>
    <w:multiLevelType w:val="hybridMultilevel"/>
    <w:tmpl w:val="2926DBAE"/>
    <w:lvl w:ilvl="0" w:tplc="ED80DDC0">
      <w:start w:val="1"/>
      <w:numFmt w:val="lowerLetter"/>
      <w:lvlText w:val="%1)"/>
      <w:lvlJc w:val="left"/>
      <w:pPr>
        <w:ind w:left="420" w:hanging="4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620243C7"/>
    <w:multiLevelType w:val="hybridMultilevel"/>
    <w:tmpl w:val="129E968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7DD4B56"/>
    <w:multiLevelType w:val="hybridMultilevel"/>
    <w:tmpl w:val="FB963BB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E546491"/>
    <w:multiLevelType w:val="hybridMultilevel"/>
    <w:tmpl w:val="D94CDF56"/>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76DD4DF0"/>
    <w:multiLevelType w:val="hybridMultilevel"/>
    <w:tmpl w:val="4ACE211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A671586"/>
    <w:multiLevelType w:val="hybridMultilevel"/>
    <w:tmpl w:val="DACC5A58"/>
    <w:lvl w:ilvl="0" w:tplc="942E52E6">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0268695">
    <w:abstractNumId w:val="19"/>
  </w:num>
  <w:num w:numId="2" w16cid:durableId="812063832">
    <w:abstractNumId w:val="22"/>
  </w:num>
  <w:num w:numId="3" w16cid:durableId="587925835">
    <w:abstractNumId w:val="18"/>
  </w:num>
  <w:num w:numId="4" w16cid:durableId="1419599323">
    <w:abstractNumId w:val="13"/>
  </w:num>
  <w:num w:numId="5" w16cid:durableId="118695264">
    <w:abstractNumId w:val="20"/>
  </w:num>
  <w:num w:numId="6" w16cid:durableId="1108114299">
    <w:abstractNumId w:val="2"/>
  </w:num>
  <w:num w:numId="7" w16cid:durableId="810951134">
    <w:abstractNumId w:val="3"/>
  </w:num>
  <w:num w:numId="8" w16cid:durableId="624584038">
    <w:abstractNumId w:val="12"/>
  </w:num>
  <w:num w:numId="9" w16cid:durableId="1085303918">
    <w:abstractNumId w:val="1"/>
  </w:num>
  <w:num w:numId="10" w16cid:durableId="232008176">
    <w:abstractNumId w:val="21"/>
  </w:num>
  <w:num w:numId="11" w16cid:durableId="1136289443">
    <w:abstractNumId w:val="11"/>
  </w:num>
  <w:num w:numId="12" w16cid:durableId="1641495790">
    <w:abstractNumId w:val="23"/>
  </w:num>
  <w:num w:numId="13" w16cid:durableId="1198398853">
    <w:abstractNumId w:val="10"/>
  </w:num>
  <w:num w:numId="14" w16cid:durableId="687372010">
    <w:abstractNumId w:val="4"/>
  </w:num>
  <w:num w:numId="15" w16cid:durableId="940794235">
    <w:abstractNumId w:val="8"/>
  </w:num>
  <w:num w:numId="16" w16cid:durableId="1693797993">
    <w:abstractNumId w:val="0"/>
  </w:num>
  <w:num w:numId="17" w16cid:durableId="2089645440">
    <w:abstractNumId w:val="16"/>
  </w:num>
  <w:num w:numId="18" w16cid:durableId="547690812">
    <w:abstractNumId w:val="17"/>
  </w:num>
  <w:num w:numId="19" w16cid:durableId="482742044">
    <w:abstractNumId w:val="9"/>
  </w:num>
  <w:num w:numId="20" w16cid:durableId="758990623">
    <w:abstractNumId w:val="14"/>
  </w:num>
  <w:num w:numId="21" w16cid:durableId="87822769">
    <w:abstractNumId w:val="6"/>
  </w:num>
  <w:num w:numId="22" w16cid:durableId="655306952">
    <w:abstractNumId w:val="24"/>
  </w:num>
  <w:num w:numId="23" w16cid:durableId="1045301248">
    <w:abstractNumId w:val="15"/>
  </w:num>
  <w:num w:numId="24" w16cid:durableId="1919947234">
    <w:abstractNumId w:val="5"/>
  </w:num>
  <w:num w:numId="25" w16cid:durableId="10003509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C2F"/>
    <w:rsid w:val="00007E48"/>
    <w:rsid w:val="00027239"/>
    <w:rsid w:val="0006442F"/>
    <w:rsid w:val="00086381"/>
    <w:rsid w:val="00086DA7"/>
    <w:rsid w:val="00134F74"/>
    <w:rsid w:val="001420C3"/>
    <w:rsid w:val="00161B60"/>
    <w:rsid w:val="001D54EA"/>
    <w:rsid w:val="00202E5A"/>
    <w:rsid w:val="0023446C"/>
    <w:rsid w:val="002524C5"/>
    <w:rsid w:val="00253C56"/>
    <w:rsid w:val="002D6EBC"/>
    <w:rsid w:val="0034274B"/>
    <w:rsid w:val="00364FA3"/>
    <w:rsid w:val="00382FE6"/>
    <w:rsid w:val="003A2846"/>
    <w:rsid w:val="003A2F05"/>
    <w:rsid w:val="003B16CB"/>
    <w:rsid w:val="003F62C5"/>
    <w:rsid w:val="00400B8F"/>
    <w:rsid w:val="00404715"/>
    <w:rsid w:val="00443D20"/>
    <w:rsid w:val="00453044"/>
    <w:rsid w:val="0045309E"/>
    <w:rsid w:val="004B6962"/>
    <w:rsid w:val="00501D51"/>
    <w:rsid w:val="00540495"/>
    <w:rsid w:val="005744B8"/>
    <w:rsid w:val="00582E3A"/>
    <w:rsid w:val="005B4B4B"/>
    <w:rsid w:val="0066680B"/>
    <w:rsid w:val="006B164E"/>
    <w:rsid w:val="00707BEA"/>
    <w:rsid w:val="00727A71"/>
    <w:rsid w:val="0077327B"/>
    <w:rsid w:val="007840C7"/>
    <w:rsid w:val="00786A62"/>
    <w:rsid w:val="007A74BE"/>
    <w:rsid w:val="00820C7D"/>
    <w:rsid w:val="008536A3"/>
    <w:rsid w:val="00862C7D"/>
    <w:rsid w:val="00866F68"/>
    <w:rsid w:val="008708AA"/>
    <w:rsid w:val="0089053F"/>
    <w:rsid w:val="008B2C2F"/>
    <w:rsid w:val="008D2D2E"/>
    <w:rsid w:val="009249AD"/>
    <w:rsid w:val="009721CD"/>
    <w:rsid w:val="009A0156"/>
    <w:rsid w:val="009C0F5E"/>
    <w:rsid w:val="009F1666"/>
    <w:rsid w:val="00AF6856"/>
    <w:rsid w:val="00B67A95"/>
    <w:rsid w:val="00B83A0A"/>
    <w:rsid w:val="00BA0F4A"/>
    <w:rsid w:val="00C116FC"/>
    <w:rsid w:val="00C7754B"/>
    <w:rsid w:val="00CB70B1"/>
    <w:rsid w:val="00CC1F4B"/>
    <w:rsid w:val="00CE71A8"/>
    <w:rsid w:val="00D5477F"/>
    <w:rsid w:val="00DC2615"/>
    <w:rsid w:val="00DC5C5C"/>
    <w:rsid w:val="00DE6B4A"/>
    <w:rsid w:val="00E00561"/>
    <w:rsid w:val="00E22BF4"/>
    <w:rsid w:val="00E26ACA"/>
    <w:rsid w:val="00E46BB4"/>
    <w:rsid w:val="00EC0F15"/>
    <w:rsid w:val="00ED7B42"/>
    <w:rsid w:val="00EE20DA"/>
    <w:rsid w:val="00F535B6"/>
    <w:rsid w:val="00F55E1A"/>
    <w:rsid w:val="00F65003"/>
    <w:rsid w:val="00F70190"/>
    <w:rsid w:val="00F70DF3"/>
    <w:rsid w:val="00F97B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43A8B"/>
  <w15:chartTrackingRefBased/>
  <w15:docId w15:val="{FBFC9CE2-099D-435C-A3FC-71C095B6B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B2C2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2C2F"/>
  </w:style>
  <w:style w:type="paragraph" w:styleId="Fuzeile">
    <w:name w:val="footer"/>
    <w:basedOn w:val="Standard"/>
    <w:link w:val="FuzeileZchn"/>
    <w:uiPriority w:val="99"/>
    <w:unhideWhenUsed/>
    <w:rsid w:val="008B2C2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B2C2F"/>
  </w:style>
  <w:style w:type="paragraph" w:styleId="Listenabsatz">
    <w:name w:val="List Paragraph"/>
    <w:basedOn w:val="Standard"/>
    <w:uiPriority w:val="34"/>
    <w:qFormat/>
    <w:rsid w:val="008B2C2F"/>
    <w:pPr>
      <w:ind w:left="720"/>
      <w:contextualSpacing/>
    </w:pPr>
  </w:style>
  <w:style w:type="table" w:styleId="Tabellenraster">
    <w:name w:val="Table Grid"/>
    <w:basedOn w:val="NormaleTabelle"/>
    <w:uiPriority w:val="39"/>
    <w:rsid w:val="00443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2D6EB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D6E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2540</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ITDZ-Berlin</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der Loo, Jonathan</dc:creator>
  <cp:keywords/>
  <dc:description/>
  <cp:lastModifiedBy>van der Loo, Jonathan</cp:lastModifiedBy>
  <cp:revision>7</cp:revision>
  <cp:lastPrinted>2020-07-06T08:04:00Z</cp:lastPrinted>
  <dcterms:created xsi:type="dcterms:W3CDTF">2025-12-03T06:27:00Z</dcterms:created>
  <dcterms:modified xsi:type="dcterms:W3CDTF">2025-12-08T15:39:00Z</dcterms:modified>
</cp:coreProperties>
</file>