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848AB" w14:textId="4DC4AFF7" w:rsidR="00D5005F" w:rsidRDefault="003004FB">
      <w:r>
        <w:rPr>
          <w:noProof/>
        </w:rPr>
        <mc:AlternateContent>
          <mc:Choice Requires="wps">
            <w:drawing>
              <wp:anchor distT="0" distB="0" distL="114300" distR="114300" simplePos="0" relativeHeight="251659264" behindDoc="0" locked="0" layoutInCell="1" allowOverlap="1" wp14:anchorId="0D9F7C90" wp14:editId="09B94EED">
                <wp:simplePos x="0" y="0"/>
                <wp:positionH relativeFrom="column">
                  <wp:posOffset>-273796</wp:posOffset>
                </wp:positionH>
                <wp:positionV relativeFrom="paragraph">
                  <wp:posOffset>-453433</wp:posOffset>
                </wp:positionV>
                <wp:extent cx="6536166" cy="1477688"/>
                <wp:effectExtent l="0" t="0" r="0" b="8255"/>
                <wp:wrapNone/>
                <wp:docPr id="1" name="Abgerundetes Rechteck 1"/>
                <wp:cNvGraphicFramePr/>
                <a:graphic xmlns:a="http://schemas.openxmlformats.org/drawingml/2006/main">
                  <a:graphicData uri="http://schemas.microsoft.com/office/word/2010/wordprocessingShape">
                    <wps:wsp>
                      <wps:cNvSpPr/>
                      <wps:spPr>
                        <a:xfrm>
                          <a:off x="0" y="0"/>
                          <a:ext cx="6536166" cy="1477688"/>
                        </a:xfrm>
                        <a:prstGeom prst="round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35967" w14:textId="33DBAAE8" w:rsidR="003004FB" w:rsidRPr="003004FB" w:rsidRDefault="003004FB" w:rsidP="003004FB">
                            <w:pPr>
                              <w:rPr>
                                <w:rFonts w:asciiTheme="minorHAnsi" w:hAnsi="Aptos"/>
                                <w:b/>
                                <w:bCs/>
                                <w:color w:val="FFFFFF" w:themeColor="light1"/>
                                <w:kern w:val="24"/>
                                <w:sz w:val="28"/>
                                <w:szCs w:val="28"/>
                              </w:rPr>
                            </w:pPr>
                            <w:r w:rsidRPr="003004FB">
                              <w:rPr>
                                <w:rFonts w:asciiTheme="minorHAnsi" w:hAnsi="Aptos"/>
                                <w:b/>
                                <w:bCs/>
                                <w:color w:val="FFFFFF" w:themeColor="light1"/>
                                <w:kern w:val="24"/>
                                <w:sz w:val="28"/>
                                <w:szCs w:val="28"/>
                              </w:rPr>
                              <w:t xml:space="preserve">Ernie beantragt, durch seinen Prozessbevollmächtigten Herrn von Bödefeld, den Erlass eines Mahnbescheides gegen Bert aus einer Zahlungsforderung über 1000,00 EUR. Sofern Widerspruch gegen den Mahnbescheid eingelegt wird, soll das Verfahren an das zuständige Prozessgericht abgegeben werden. </w:t>
                            </w:r>
                          </w:p>
                        </w:txbxContent>
                      </wps:txbx>
                      <wps:bodyPr rtlCol="0" anchor="ctr"/>
                    </wps:wsp>
                  </a:graphicData>
                </a:graphic>
              </wp:anchor>
            </w:drawing>
          </mc:Choice>
          <mc:Fallback>
            <w:pict>
              <v:roundrect w14:anchorId="0D9F7C90" id="Abgerundetes Rechteck 1" o:spid="_x0000_s1026" style="position:absolute;margin-left:-21.55pt;margin-top:-35.7pt;width:514.65pt;height:116.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" fillcolor="#f1a983 [1941]" stroked="f" strokeweight="1pt">
                <v:stroke joinstyle="miter"/>
                <v:textbox>
                  <w:txbxContent>
                    <w:p w14:paraId="63C35967" w14:textId="33DBAAE8" w:rsidR="003004FB" w:rsidRPr="003004FB" w:rsidRDefault="003004FB" w:rsidP="003004FB">
                      <w:pPr>
                        <w:rPr>
                          <w:rFonts w:asciiTheme="minorHAnsi" w:hAnsi="Aptos"/>
                          <w:b/>
                          <w:bCs/>
                          <w:color w:val="FFFFFF" w:themeColor="light1"/>
                          <w:kern w:val="24"/>
                          <w:sz w:val="28"/>
                          <w:szCs w:val="28"/>
                        </w:rPr>
                      </w:pPr>
                      <w:r w:rsidRPr="003004FB">
                        <w:rPr>
                          <w:rFonts w:asciiTheme="minorHAnsi" w:hAnsi="Aptos"/>
                          <w:b/>
                          <w:bCs/>
                          <w:color w:val="FFFFFF" w:themeColor="light1"/>
                          <w:kern w:val="24"/>
                          <w:sz w:val="28"/>
                          <w:szCs w:val="28"/>
                        </w:rPr>
                        <w:t xml:space="preserve">Ernie beantragt, durch seinen Prozessbevollmächtigten Herrn von Bödefeld, den Erlass eines Mahnbescheides gegen Bert aus einer Zahlungsforderung über 1000,00 EUR. Sofern Widerspruch gegen den Mahnbescheid eingelegt wird, soll das Verfahren an das zuständige Prozessgericht abgegeben werden. </w:t>
                      </w:r>
                    </w:p>
                  </w:txbxContent>
                </v:textbox>
              </v:roundrect>
            </w:pict>
          </mc:Fallback>
        </mc:AlternateContent>
      </w:r>
    </w:p>
    <w:p w14:paraId="797028F1" w14:textId="77777777" w:rsidR="003004FB" w:rsidRPr="003004FB" w:rsidRDefault="003004FB" w:rsidP="003004FB"/>
    <w:p w14:paraId="42740B0E" w14:textId="77777777" w:rsidR="003004FB" w:rsidRPr="003004FB" w:rsidRDefault="003004FB" w:rsidP="003004FB"/>
    <w:p w14:paraId="79DEE250" w14:textId="77777777" w:rsidR="003004FB" w:rsidRDefault="003004FB" w:rsidP="003004FB"/>
    <w:p w14:paraId="7AA82EBD" w14:textId="4E5B2ED0" w:rsidR="003004FB" w:rsidRDefault="003004FB" w:rsidP="003004FB">
      <w:pPr>
        <w:pStyle w:val="Listenabsatz"/>
        <w:numPr>
          <w:ilvl w:val="0"/>
          <w:numId w:val="1"/>
        </w:numPr>
        <w:rPr>
          <w:b/>
        </w:rPr>
      </w:pPr>
      <w:r w:rsidRPr="003004FB">
        <w:rPr>
          <w:b/>
        </w:rPr>
        <w:t>Kosten am Mahngericht (Erste Prozesskostenhälfte)</w:t>
      </w:r>
    </w:p>
    <w:tbl>
      <w:tblPr>
        <w:tblStyle w:val="Tabellenraster"/>
        <w:tblW w:w="0" w:type="auto"/>
        <w:tblInd w:w="360" w:type="dxa"/>
        <w:tblLook w:val="04A0" w:firstRow="1" w:lastRow="0" w:firstColumn="1" w:lastColumn="0" w:noHBand="0" w:noVBand="1"/>
      </w:tblPr>
      <w:tblGrid>
        <w:gridCol w:w="2217"/>
        <w:gridCol w:w="2126"/>
        <w:gridCol w:w="2132"/>
        <w:gridCol w:w="2227"/>
      </w:tblGrid>
      <w:tr w:rsidR="003004FB" w14:paraId="40577FF0" w14:textId="77777777" w:rsidTr="003004FB">
        <w:tc>
          <w:tcPr>
            <w:tcW w:w="2265" w:type="dxa"/>
          </w:tcPr>
          <w:p w14:paraId="013C5E85" w14:textId="1975884B" w:rsidR="003004FB" w:rsidRDefault="003004FB" w:rsidP="003004FB">
            <w:pPr>
              <w:rPr>
                <w:b/>
              </w:rPr>
            </w:pPr>
            <w:r>
              <w:rPr>
                <w:b/>
              </w:rPr>
              <w:t>Tatbestand</w:t>
            </w:r>
          </w:p>
        </w:tc>
        <w:tc>
          <w:tcPr>
            <w:tcW w:w="2265" w:type="dxa"/>
          </w:tcPr>
          <w:p w14:paraId="0402D057" w14:textId="2B8D4DF9" w:rsidR="003004FB" w:rsidRDefault="003004FB" w:rsidP="003004FB">
            <w:pPr>
              <w:rPr>
                <w:b/>
              </w:rPr>
            </w:pPr>
            <w:r>
              <w:rPr>
                <w:b/>
              </w:rPr>
              <w:t>KV-Nr.:</w:t>
            </w:r>
          </w:p>
        </w:tc>
        <w:tc>
          <w:tcPr>
            <w:tcW w:w="2266" w:type="dxa"/>
          </w:tcPr>
          <w:p w14:paraId="7AFF39AC" w14:textId="045984C0" w:rsidR="003004FB" w:rsidRDefault="003004FB" w:rsidP="003004FB">
            <w:pPr>
              <w:rPr>
                <w:b/>
              </w:rPr>
            </w:pPr>
            <w:r>
              <w:rPr>
                <w:b/>
              </w:rPr>
              <w:t>Wert</w:t>
            </w:r>
          </w:p>
        </w:tc>
        <w:tc>
          <w:tcPr>
            <w:tcW w:w="2266" w:type="dxa"/>
          </w:tcPr>
          <w:p w14:paraId="2C547D4B" w14:textId="3D78BC8E" w:rsidR="003004FB" w:rsidRDefault="003004FB" w:rsidP="003004FB">
            <w:pPr>
              <w:rPr>
                <w:b/>
              </w:rPr>
            </w:pPr>
            <w:r>
              <w:rPr>
                <w:b/>
              </w:rPr>
              <w:t>Betrag</w:t>
            </w:r>
          </w:p>
        </w:tc>
      </w:tr>
      <w:tr w:rsidR="003004FB" w:rsidRPr="003004FB" w14:paraId="0CD31756" w14:textId="77777777" w:rsidTr="003004FB">
        <w:tc>
          <w:tcPr>
            <w:tcW w:w="2265" w:type="dxa"/>
          </w:tcPr>
          <w:p w14:paraId="5FF8B903" w14:textId="6D811D9C" w:rsidR="003004FB" w:rsidRPr="003004FB" w:rsidRDefault="003004FB" w:rsidP="003004FB">
            <w:r>
              <w:t>Mahnverfahren</w:t>
            </w:r>
          </w:p>
        </w:tc>
        <w:tc>
          <w:tcPr>
            <w:tcW w:w="2265" w:type="dxa"/>
          </w:tcPr>
          <w:p w14:paraId="63DE946F" w14:textId="551DA4F2" w:rsidR="003004FB" w:rsidRPr="003004FB" w:rsidRDefault="003004FB" w:rsidP="003004FB">
            <w:r>
              <w:t>1100</w:t>
            </w:r>
          </w:p>
        </w:tc>
        <w:tc>
          <w:tcPr>
            <w:tcW w:w="2266" w:type="dxa"/>
          </w:tcPr>
          <w:p w14:paraId="6CF15930" w14:textId="66874ACA" w:rsidR="003004FB" w:rsidRPr="003004FB" w:rsidRDefault="003004FB" w:rsidP="003004FB">
            <w:r>
              <w:t>1.000</w:t>
            </w:r>
          </w:p>
        </w:tc>
        <w:tc>
          <w:tcPr>
            <w:tcW w:w="2266" w:type="dxa"/>
          </w:tcPr>
          <w:p w14:paraId="5F6DD97E" w14:textId="77777777" w:rsidR="003004FB" w:rsidRDefault="003004FB" w:rsidP="003004FB">
            <w:r>
              <w:t>38</w:t>
            </w:r>
          </w:p>
          <w:p w14:paraId="01F771BD" w14:textId="64CEB0C0" w:rsidR="003004FB" w:rsidRPr="003004FB" w:rsidRDefault="003004FB" w:rsidP="003004FB">
            <w:pPr>
              <w:rPr>
                <w:i/>
              </w:rPr>
            </w:pPr>
            <w:r w:rsidRPr="003004FB">
              <w:rPr>
                <w:i/>
              </w:rPr>
              <w:t>(Mindestgebühr, da 0,5 Gebühr 30,50)</w:t>
            </w:r>
          </w:p>
        </w:tc>
      </w:tr>
    </w:tbl>
    <w:p w14:paraId="17DB48E0" w14:textId="77777777" w:rsidR="003004FB" w:rsidRDefault="003004FB" w:rsidP="003004FB">
      <w:pPr>
        <w:ind w:left="360"/>
        <w:rPr>
          <w:b/>
        </w:rPr>
      </w:pP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6940"/>
      </w:tblGrid>
      <w:tr w:rsidR="00EA5E9C" w14:paraId="7EEB2F67" w14:textId="77777777" w:rsidTr="003004FB">
        <w:tc>
          <w:tcPr>
            <w:tcW w:w="1762" w:type="dxa"/>
          </w:tcPr>
          <w:p w14:paraId="7BA5CA01" w14:textId="30C62AC3" w:rsidR="00EA5E9C" w:rsidRDefault="00EA5E9C" w:rsidP="00EA5E9C">
            <w:pPr>
              <w:jc w:val="center"/>
              <w:rPr>
                <w:b/>
              </w:rPr>
            </w:pPr>
            <w:r>
              <w:rPr>
                <w:b/>
              </w:rPr>
              <w:t>Baustein</w:t>
            </w:r>
          </w:p>
          <w:p w14:paraId="3B825F7D" w14:textId="52DACF83" w:rsidR="00EA5E9C" w:rsidRDefault="00EA5E9C" w:rsidP="00EA5E9C">
            <w:pPr>
              <w:jc w:val="center"/>
              <w:rPr>
                <w:b/>
              </w:rPr>
            </w:pPr>
            <w:r>
              <w:rPr>
                <w:b/>
              </w:rPr>
              <w:t>A</w:t>
            </w:r>
          </w:p>
        </w:tc>
        <w:tc>
          <w:tcPr>
            <w:tcW w:w="6940" w:type="dxa"/>
          </w:tcPr>
          <w:p w14:paraId="13960FDC" w14:textId="3A15C4E6" w:rsidR="00EA5E9C" w:rsidRPr="003004FB" w:rsidRDefault="00EA5E9C" w:rsidP="00EA5E9C">
            <w:pPr>
              <w:rPr>
                <w:bCs/>
              </w:rPr>
            </w:pPr>
            <w:r w:rsidRPr="00821930">
              <w:t>Fälligkeit</w:t>
            </w:r>
            <w:r>
              <w:t xml:space="preserve"> der </w:t>
            </w:r>
            <w:r>
              <w:t xml:space="preserve">ersten </w:t>
            </w:r>
            <w:r>
              <w:t>Prozesskostenhälfte tritt gem. § 6 Abs. 1 S. 1 Nr. 1 GKG mit Eingang de</w:t>
            </w:r>
            <w:r>
              <w:t>s Antrags auf Erlass eines Mahnbescheids ein</w:t>
            </w:r>
            <w:r>
              <w:t>.</w:t>
            </w:r>
          </w:p>
        </w:tc>
      </w:tr>
      <w:tr w:rsidR="00EA5E9C" w14:paraId="3DBEF92E" w14:textId="77777777" w:rsidTr="003004FB">
        <w:tc>
          <w:tcPr>
            <w:tcW w:w="1762" w:type="dxa"/>
          </w:tcPr>
          <w:p w14:paraId="30D83AA2" w14:textId="2F57C043" w:rsidR="00EA5E9C" w:rsidRDefault="00EA5E9C" w:rsidP="00EA5E9C">
            <w:pPr>
              <w:jc w:val="center"/>
              <w:rPr>
                <w:b/>
              </w:rPr>
            </w:pPr>
            <w:r>
              <w:rPr>
                <w:b/>
              </w:rPr>
              <w:t>B</w:t>
            </w:r>
          </w:p>
        </w:tc>
        <w:tc>
          <w:tcPr>
            <w:tcW w:w="6940" w:type="dxa"/>
          </w:tcPr>
          <w:p w14:paraId="724E37C8" w14:textId="67432EF6" w:rsidR="00EA5E9C" w:rsidRPr="003004FB" w:rsidRDefault="00901B66" w:rsidP="00EA5E9C">
            <w:pPr>
              <w:rPr>
                <w:bCs/>
              </w:rPr>
            </w:pPr>
            <w:r>
              <w:t xml:space="preserve">Kostenschuldner ist der </w:t>
            </w:r>
            <w:r>
              <w:t>Antragsteller</w:t>
            </w:r>
            <w:r>
              <w:t xml:space="preserve"> gem. § 22 Abs. 1 GKG.</w:t>
            </w:r>
          </w:p>
        </w:tc>
      </w:tr>
      <w:tr w:rsidR="00EA5E9C" w14:paraId="7D03546C" w14:textId="77777777" w:rsidTr="003004FB">
        <w:tc>
          <w:tcPr>
            <w:tcW w:w="1762" w:type="dxa"/>
          </w:tcPr>
          <w:p w14:paraId="0FD65C3B" w14:textId="5477A4DA" w:rsidR="00EA5E9C" w:rsidRDefault="00EA5E9C" w:rsidP="00EA5E9C">
            <w:pPr>
              <w:jc w:val="center"/>
              <w:rPr>
                <w:b/>
              </w:rPr>
            </w:pPr>
            <w:r>
              <w:rPr>
                <w:b/>
              </w:rPr>
              <w:t>D</w:t>
            </w:r>
          </w:p>
        </w:tc>
        <w:tc>
          <w:tcPr>
            <w:tcW w:w="6940" w:type="dxa"/>
          </w:tcPr>
          <w:p w14:paraId="2D9D0CDD" w14:textId="43B4EEBA" w:rsidR="00EA5E9C" w:rsidRPr="003004FB" w:rsidRDefault="00EA5E9C" w:rsidP="00EA5E9C">
            <w:pPr>
              <w:rPr>
                <w:bCs/>
              </w:rPr>
            </w:pPr>
            <w:r w:rsidRPr="003004FB">
              <w:rPr>
                <w:bCs/>
              </w:rPr>
              <w:t>Die Anforderung der 1. Gerichtskostenhälfte erfolgt durch maschinelle Kostennachricht gem. § 26 KostVfg erst nach Erlass des Mahnbescheids, da gem. § 12 Abs. 3 S. 2 GKG im maschinellen Mahnverfahren für den Erlass des MB keine Vorauszahlungspflicht besteht, sondern erst für den Erlass des Vollstreckungsbescheids. Sie wird ge</w:t>
            </w:r>
            <w:r>
              <w:rPr>
                <w:bCs/>
              </w:rPr>
              <w:t>m</w:t>
            </w:r>
            <w:r w:rsidRPr="003004FB">
              <w:rPr>
                <w:bCs/>
              </w:rPr>
              <w:t>. §§ 4 Abs. 2, 15 Abs. 1 und 26 Abs. 1) vom Antragsteller erfordert.</w:t>
            </w:r>
          </w:p>
        </w:tc>
      </w:tr>
    </w:tbl>
    <w:p w14:paraId="67FC4BFD" w14:textId="77777777" w:rsidR="003004FB" w:rsidRDefault="003004FB" w:rsidP="003004FB">
      <w:pPr>
        <w:ind w:left="360"/>
        <w:rPr>
          <w:b/>
        </w:rPr>
      </w:pPr>
    </w:p>
    <w:p w14:paraId="0C66769C" w14:textId="6095EFDF" w:rsidR="009B6521" w:rsidRDefault="009B6521">
      <w:pPr>
        <w:rPr>
          <w:b/>
        </w:rPr>
      </w:pPr>
      <w:r>
        <w:rPr>
          <w:b/>
        </w:rPr>
        <w:br w:type="page"/>
      </w:r>
    </w:p>
    <w:p w14:paraId="73202C87" w14:textId="77777777" w:rsidR="003004FB" w:rsidRPr="003004FB" w:rsidRDefault="003004FB" w:rsidP="003004FB">
      <w:pPr>
        <w:ind w:left="360"/>
        <w:rPr>
          <w:b/>
        </w:rPr>
      </w:pPr>
    </w:p>
    <w:p w14:paraId="2B25F2F0" w14:textId="2C1DB24C" w:rsidR="003004FB" w:rsidRDefault="003004FB" w:rsidP="003004FB">
      <w:pPr>
        <w:pStyle w:val="Listenabsatz"/>
        <w:numPr>
          <w:ilvl w:val="0"/>
          <w:numId w:val="1"/>
        </w:numPr>
        <w:rPr>
          <w:b/>
        </w:rPr>
      </w:pPr>
      <w:r>
        <w:rPr>
          <w:b/>
        </w:rPr>
        <w:t>Kosten nach Widerspruch und Abgabeantrag Antragsteller (Zweite Prozesskostenhälfte)</w:t>
      </w:r>
    </w:p>
    <w:tbl>
      <w:tblPr>
        <w:tblStyle w:val="Tabellenraster"/>
        <w:tblW w:w="0" w:type="auto"/>
        <w:tblInd w:w="360" w:type="dxa"/>
        <w:tblLook w:val="04A0" w:firstRow="1" w:lastRow="0" w:firstColumn="1" w:lastColumn="0" w:noHBand="0" w:noVBand="1"/>
      </w:tblPr>
      <w:tblGrid>
        <w:gridCol w:w="2198"/>
        <w:gridCol w:w="1690"/>
        <w:gridCol w:w="2716"/>
        <w:gridCol w:w="2098"/>
      </w:tblGrid>
      <w:tr w:rsidR="009B6521" w14:paraId="0A54A4F2" w14:textId="77777777" w:rsidTr="009B6521">
        <w:tc>
          <w:tcPr>
            <w:tcW w:w="2198" w:type="dxa"/>
          </w:tcPr>
          <w:p w14:paraId="34D8AB17" w14:textId="77777777" w:rsidR="003004FB" w:rsidRDefault="003004FB" w:rsidP="007A7E97">
            <w:pPr>
              <w:rPr>
                <w:b/>
              </w:rPr>
            </w:pPr>
            <w:r>
              <w:rPr>
                <w:b/>
              </w:rPr>
              <w:t>Tatbestand</w:t>
            </w:r>
          </w:p>
        </w:tc>
        <w:tc>
          <w:tcPr>
            <w:tcW w:w="1690" w:type="dxa"/>
          </w:tcPr>
          <w:p w14:paraId="77286BCA" w14:textId="77777777" w:rsidR="003004FB" w:rsidRDefault="003004FB" w:rsidP="007A7E97">
            <w:pPr>
              <w:rPr>
                <w:b/>
              </w:rPr>
            </w:pPr>
            <w:r>
              <w:rPr>
                <w:b/>
              </w:rPr>
              <w:t>KV-Nr.:</w:t>
            </w:r>
          </w:p>
        </w:tc>
        <w:tc>
          <w:tcPr>
            <w:tcW w:w="2716" w:type="dxa"/>
          </w:tcPr>
          <w:p w14:paraId="64BC2DCD" w14:textId="77777777" w:rsidR="003004FB" w:rsidRDefault="003004FB" w:rsidP="007A7E97">
            <w:pPr>
              <w:rPr>
                <w:b/>
              </w:rPr>
            </w:pPr>
            <w:r>
              <w:rPr>
                <w:b/>
              </w:rPr>
              <w:t>Wert</w:t>
            </w:r>
          </w:p>
        </w:tc>
        <w:tc>
          <w:tcPr>
            <w:tcW w:w="2098" w:type="dxa"/>
          </w:tcPr>
          <w:p w14:paraId="2235F069" w14:textId="77777777" w:rsidR="003004FB" w:rsidRDefault="003004FB" w:rsidP="007A7E97">
            <w:pPr>
              <w:rPr>
                <w:b/>
              </w:rPr>
            </w:pPr>
            <w:r>
              <w:rPr>
                <w:b/>
              </w:rPr>
              <w:t>Betrag</w:t>
            </w:r>
          </w:p>
        </w:tc>
      </w:tr>
      <w:tr w:rsidR="009B6521" w:rsidRPr="003004FB" w14:paraId="045B0D91" w14:textId="77777777" w:rsidTr="009B6521">
        <w:tc>
          <w:tcPr>
            <w:tcW w:w="2198" w:type="dxa"/>
          </w:tcPr>
          <w:p w14:paraId="6C487F40" w14:textId="082DACD7" w:rsidR="003004FB" w:rsidRPr="003004FB" w:rsidRDefault="00821930" w:rsidP="007A7E97">
            <w:r>
              <w:t>Mahnverfahren</w:t>
            </w:r>
          </w:p>
        </w:tc>
        <w:tc>
          <w:tcPr>
            <w:tcW w:w="1690" w:type="dxa"/>
          </w:tcPr>
          <w:p w14:paraId="3446A1F4" w14:textId="7C9A0EC3" w:rsidR="003004FB" w:rsidRPr="003004FB" w:rsidRDefault="00821930" w:rsidP="007A7E97">
            <w:r>
              <w:t>1100</w:t>
            </w:r>
          </w:p>
        </w:tc>
        <w:tc>
          <w:tcPr>
            <w:tcW w:w="2716" w:type="dxa"/>
          </w:tcPr>
          <w:p w14:paraId="14BFD01B" w14:textId="59A7AE40" w:rsidR="003004FB" w:rsidRPr="003004FB" w:rsidRDefault="00821930" w:rsidP="007A7E97">
            <w:r>
              <w:t>1.000</w:t>
            </w:r>
          </w:p>
        </w:tc>
        <w:tc>
          <w:tcPr>
            <w:tcW w:w="2098" w:type="dxa"/>
          </w:tcPr>
          <w:p w14:paraId="1D9F53B5" w14:textId="30B62038" w:rsidR="003004FB" w:rsidRPr="003004FB" w:rsidRDefault="00821930" w:rsidP="007A7E97">
            <w:r>
              <w:t>38,00</w:t>
            </w:r>
          </w:p>
        </w:tc>
      </w:tr>
      <w:tr w:rsidR="009B6521" w:rsidRPr="003004FB" w14:paraId="5BAD25B0" w14:textId="77777777" w:rsidTr="009B6521">
        <w:tc>
          <w:tcPr>
            <w:tcW w:w="2198" w:type="dxa"/>
          </w:tcPr>
          <w:p w14:paraId="63BA306A" w14:textId="75404899" w:rsidR="00821930" w:rsidRDefault="00821930" w:rsidP="007A7E97">
            <w:r>
              <w:t>Verf. i.Allg.</w:t>
            </w:r>
          </w:p>
        </w:tc>
        <w:tc>
          <w:tcPr>
            <w:tcW w:w="1690" w:type="dxa"/>
          </w:tcPr>
          <w:p w14:paraId="78E033E9" w14:textId="4BEC517F" w:rsidR="00821930" w:rsidRDefault="00821930" w:rsidP="007A7E97">
            <w:r>
              <w:t>1210</w:t>
            </w:r>
          </w:p>
        </w:tc>
        <w:tc>
          <w:tcPr>
            <w:tcW w:w="2716" w:type="dxa"/>
          </w:tcPr>
          <w:p w14:paraId="4C3476F1" w14:textId="70613DA7" w:rsidR="00821930" w:rsidRDefault="00821930" w:rsidP="007A7E97">
            <w:r>
              <w:t>1.000</w:t>
            </w:r>
          </w:p>
        </w:tc>
        <w:tc>
          <w:tcPr>
            <w:tcW w:w="2098" w:type="dxa"/>
          </w:tcPr>
          <w:p w14:paraId="13C3DACA" w14:textId="43B4089D" w:rsidR="00821930" w:rsidRDefault="00821930" w:rsidP="007A7E97">
            <w:r>
              <w:t>183,00</w:t>
            </w:r>
          </w:p>
        </w:tc>
      </w:tr>
      <w:tr w:rsidR="009B6521" w:rsidRPr="003004FB" w14:paraId="1E8AD75F" w14:textId="77777777" w:rsidTr="009B6521">
        <w:tc>
          <w:tcPr>
            <w:tcW w:w="2198" w:type="dxa"/>
          </w:tcPr>
          <w:p w14:paraId="74B128AC" w14:textId="3FAB6C7B" w:rsidR="00821930" w:rsidRPr="00821930" w:rsidRDefault="00821930" w:rsidP="007A7E97">
            <w:pPr>
              <w:rPr>
                <w:color w:val="FF0000"/>
              </w:rPr>
            </w:pPr>
            <w:r w:rsidRPr="00821930">
              <w:rPr>
                <w:color w:val="FF0000"/>
              </w:rPr>
              <w:t>Anrechnung nach KV 1210 Abs. 1 S. 1 GKG</w:t>
            </w:r>
          </w:p>
        </w:tc>
        <w:tc>
          <w:tcPr>
            <w:tcW w:w="1690" w:type="dxa"/>
          </w:tcPr>
          <w:p w14:paraId="4B723A28" w14:textId="62D4F39E" w:rsidR="00821930" w:rsidRPr="00821930" w:rsidRDefault="00821930" w:rsidP="007A7E97">
            <w:pPr>
              <w:rPr>
                <w:color w:val="FF0000"/>
              </w:rPr>
            </w:pPr>
            <w:r w:rsidRPr="00821930">
              <w:rPr>
                <w:color w:val="FF0000"/>
              </w:rPr>
              <w:t>1100</w:t>
            </w:r>
          </w:p>
        </w:tc>
        <w:tc>
          <w:tcPr>
            <w:tcW w:w="2716" w:type="dxa"/>
          </w:tcPr>
          <w:p w14:paraId="782DEB1E" w14:textId="7B31A241" w:rsidR="00821930" w:rsidRPr="00821930" w:rsidRDefault="00821930" w:rsidP="007A7E97">
            <w:pPr>
              <w:rPr>
                <w:color w:val="FF0000"/>
              </w:rPr>
            </w:pPr>
            <w:r w:rsidRPr="00821930">
              <w:rPr>
                <w:color w:val="FF0000"/>
              </w:rPr>
              <w:t>1.000</w:t>
            </w:r>
          </w:p>
        </w:tc>
        <w:tc>
          <w:tcPr>
            <w:tcW w:w="2098" w:type="dxa"/>
          </w:tcPr>
          <w:p w14:paraId="14A1CEE5" w14:textId="1F0C5ECF" w:rsidR="00821930" w:rsidRPr="00821930" w:rsidRDefault="00821930" w:rsidP="007A7E97">
            <w:pPr>
              <w:rPr>
                <w:color w:val="FF0000"/>
              </w:rPr>
            </w:pPr>
            <w:r w:rsidRPr="00821930">
              <w:rPr>
                <w:color w:val="FF0000"/>
              </w:rPr>
              <w:t>- 38,00</w:t>
            </w:r>
          </w:p>
        </w:tc>
      </w:tr>
      <w:tr w:rsidR="009B6521" w:rsidRPr="00821930" w14:paraId="0158B406" w14:textId="77777777" w:rsidTr="009B6521">
        <w:tc>
          <w:tcPr>
            <w:tcW w:w="2198" w:type="dxa"/>
          </w:tcPr>
          <w:p w14:paraId="63A7AA33" w14:textId="77777777" w:rsidR="00821930" w:rsidRPr="00821930" w:rsidRDefault="00821930" w:rsidP="007A7E97"/>
        </w:tc>
        <w:tc>
          <w:tcPr>
            <w:tcW w:w="1690" w:type="dxa"/>
          </w:tcPr>
          <w:p w14:paraId="3239605D" w14:textId="77777777" w:rsidR="00821930" w:rsidRPr="00821930" w:rsidRDefault="00821930" w:rsidP="007A7E97"/>
        </w:tc>
        <w:tc>
          <w:tcPr>
            <w:tcW w:w="2716" w:type="dxa"/>
          </w:tcPr>
          <w:p w14:paraId="5E329099" w14:textId="730E9098" w:rsidR="00821930" w:rsidRPr="00821930" w:rsidRDefault="00821930" w:rsidP="00821930">
            <w:pPr>
              <w:jc w:val="right"/>
            </w:pPr>
            <w:r w:rsidRPr="00821930">
              <w:t>Summe:</w:t>
            </w:r>
          </w:p>
        </w:tc>
        <w:tc>
          <w:tcPr>
            <w:tcW w:w="2098" w:type="dxa"/>
          </w:tcPr>
          <w:p w14:paraId="54E21BFE" w14:textId="18FB740D" w:rsidR="00821930" w:rsidRPr="00821930" w:rsidRDefault="00821930" w:rsidP="007A7E97">
            <w:r>
              <w:t>183,00</w:t>
            </w:r>
          </w:p>
        </w:tc>
      </w:tr>
      <w:tr w:rsidR="009B6521" w:rsidRPr="00821930" w14:paraId="153253CF" w14:textId="77777777" w:rsidTr="009B6521">
        <w:tc>
          <w:tcPr>
            <w:tcW w:w="2198" w:type="dxa"/>
          </w:tcPr>
          <w:p w14:paraId="4B6B59C6" w14:textId="77777777" w:rsidR="009B6521" w:rsidRPr="00821930" w:rsidRDefault="009B6521" w:rsidP="007A7E97"/>
        </w:tc>
        <w:tc>
          <w:tcPr>
            <w:tcW w:w="1690" w:type="dxa"/>
          </w:tcPr>
          <w:p w14:paraId="705FCCE8" w14:textId="77777777" w:rsidR="009B6521" w:rsidRPr="00821930" w:rsidRDefault="009B6521" w:rsidP="007A7E97"/>
        </w:tc>
        <w:tc>
          <w:tcPr>
            <w:tcW w:w="2716" w:type="dxa"/>
          </w:tcPr>
          <w:p w14:paraId="2644C12A" w14:textId="0D542BAA" w:rsidR="009B6521" w:rsidRPr="00821930" w:rsidRDefault="009B6521" w:rsidP="00821930">
            <w:pPr>
              <w:jc w:val="right"/>
            </w:pPr>
            <w:r>
              <w:t>Davon bereits vom Antragsteller gezahlt (1. Prozesskostenhälfte):</w:t>
            </w:r>
          </w:p>
        </w:tc>
        <w:tc>
          <w:tcPr>
            <w:tcW w:w="2098" w:type="dxa"/>
          </w:tcPr>
          <w:p w14:paraId="36B33CDA" w14:textId="711BDC91" w:rsidR="009B6521" w:rsidRPr="009B6521" w:rsidRDefault="009B6521" w:rsidP="007A7E97">
            <w:pPr>
              <w:rPr>
                <w:color w:val="FF0000"/>
              </w:rPr>
            </w:pPr>
            <w:r w:rsidRPr="009B6521">
              <w:rPr>
                <w:color w:val="FF0000"/>
              </w:rPr>
              <w:t>-</w:t>
            </w:r>
            <w:r>
              <w:rPr>
                <w:color w:val="FF0000"/>
              </w:rPr>
              <w:t xml:space="preserve"> </w:t>
            </w:r>
            <w:r w:rsidRPr="009B6521">
              <w:rPr>
                <w:color w:val="FF0000"/>
              </w:rPr>
              <w:t>38,00</w:t>
            </w:r>
          </w:p>
        </w:tc>
      </w:tr>
      <w:tr w:rsidR="009B6521" w:rsidRPr="00821930" w14:paraId="42630928" w14:textId="77777777" w:rsidTr="009B6521">
        <w:tc>
          <w:tcPr>
            <w:tcW w:w="2198" w:type="dxa"/>
          </w:tcPr>
          <w:p w14:paraId="455B4408" w14:textId="77777777" w:rsidR="009B6521" w:rsidRPr="00821930" w:rsidRDefault="009B6521" w:rsidP="007A7E97"/>
        </w:tc>
        <w:tc>
          <w:tcPr>
            <w:tcW w:w="1690" w:type="dxa"/>
          </w:tcPr>
          <w:p w14:paraId="594DC16B" w14:textId="77777777" w:rsidR="009B6521" w:rsidRPr="00821930" w:rsidRDefault="009B6521" w:rsidP="007A7E97"/>
        </w:tc>
        <w:tc>
          <w:tcPr>
            <w:tcW w:w="2716" w:type="dxa"/>
          </w:tcPr>
          <w:p w14:paraId="17020FE6" w14:textId="1F83A29E" w:rsidR="009B6521" w:rsidRDefault="009B6521" w:rsidP="00821930">
            <w:pPr>
              <w:jc w:val="right"/>
            </w:pPr>
            <w:r>
              <w:t>Rest:</w:t>
            </w:r>
          </w:p>
        </w:tc>
        <w:tc>
          <w:tcPr>
            <w:tcW w:w="2098" w:type="dxa"/>
          </w:tcPr>
          <w:p w14:paraId="45289EDB" w14:textId="2F17DDF0" w:rsidR="009B6521" w:rsidRDefault="009B6521" w:rsidP="007A7E97">
            <w:r>
              <w:t>145,00</w:t>
            </w:r>
          </w:p>
        </w:tc>
      </w:tr>
    </w:tbl>
    <w:p w14:paraId="39753F1C" w14:textId="77777777" w:rsidR="003004FB" w:rsidRDefault="003004FB" w:rsidP="003004FB">
      <w:pPr>
        <w:ind w:left="360"/>
        <w:rPr>
          <w:b/>
        </w:rPr>
      </w:pP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6940"/>
      </w:tblGrid>
      <w:tr w:rsidR="003004FB" w14:paraId="2A541C96" w14:textId="77777777" w:rsidTr="007A7E97">
        <w:tc>
          <w:tcPr>
            <w:tcW w:w="1762" w:type="dxa"/>
          </w:tcPr>
          <w:p w14:paraId="66BD53D0" w14:textId="77777777" w:rsidR="003004FB" w:rsidRDefault="00821930" w:rsidP="007A7E97">
            <w:pPr>
              <w:rPr>
                <w:b/>
              </w:rPr>
            </w:pPr>
            <w:r>
              <w:rPr>
                <w:b/>
              </w:rPr>
              <w:t>Baustein</w:t>
            </w:r>
          </w:p>
          <w:p w14:paraId="45512876" w14:textId="08453792" w:rsidR="00821930" w:rsidRDefault="00821930" w:rsidP="007A7E97">
            <w:pPr>
              <w:rPr>
                <w:b/>
              </w:rPr>
            </w:pPr>
            <w:r>
              <w:rPr>
                <w:b/>
              </w:rPr>
              <w:t>A</w:t>
            </w:r>
          </w:p>
        </w:tc>
        <w:tc>
          <w:tcPr>
            <w:tcW w:w="6940" w:type="dxa"/>
          </w:tcPr>
          <w:p w14:paraId="558A00F8" w14:textId="772364AA" w:rsidR="003004FB" w:rsidRPr="00821930" w:rsidRDefault="00821930" w:rsidP="007A7E97">
            <w:r w:rsidRPr="00821930">
              <w:t>Fälligkeit</w:t>
            </w:r>
            <w:r>
              <w:t xml:space="preserve"> der zweiten Prozesskostenhälfte tritt gem. § 6 Abs. 1 S. 1 Nr. 1 GKG mit Eingang der Akten beim Prozessgericht ein (vgl. 1210 Abs. 1 S. 1).</w:t>
            </w:r>
          </w:p>
        </w:tc>
      </w:tr>
      <w:tr w:rsidR="00821930" w14:paraId="60E661D0" w14:textId="77777777" w:rsidTr="007A7E97">
        <w:tc>
          <w:tcPr>
            <w:tcW w:w="1762" w:type="dxa"/>
          </w:tcPr>
          <w:p w14:paraId="220B9705" w14:textId="01435224" w:rsidR="00821930" w:rsidRDefault="00821930" w:rsidP="007A7E97">
            <w:pPr>
              <w:rPr>
                <w:b/>
              </w:rPr>
            </w:pPr>
            <w:r>
              <w:rPr>
                <w:b/>
              </w:rPr>
              <w:t>B</w:t>
            </w:r>
          </w:p>
        </w:tc>
        <w:tc>
          <w:tcPr>
            <w:tcW w:w="6940" w:type="dxa"/>
          </w:tcPr>
          <w:p w14:paraId="31AD5017" w14:textId="6E63AACF" w:rsidR="00821930" w:rsidRPr="00821930" w:rsidRDefault="00821930" w:rsidP="007A7E97">
            <w:r>
              <w:t>Kostenschuldner ist der Kläger (Antragsteller des MV) gem. § 22 Abs. 1 GKG.</w:t>
            </w:r>
          </w:p>
        </w:tc>
      </w:tr>
      <w:tr w:rsidR="009B6521" w14:paraId="7CF8DA18" w14:textId="77777777" w:rsidTr="007A7E97">
        <w:tc>
          <w:tcPr>
            <w:tcW w:w="1762" w:type="dxa"/>
          </w:tcPr>
          <w:p w14:paraId="35DC2E9B" w14:textId="71D3B916" w:rsidR="009B6521" w:rsidRDefault="009B6521" w:rsidP="007A7E97">
            <w:pPr>
              <w:rPr>
                <w:b/>
              </w:rPr>
            </w:pPr>
            <w:r>
              <w:rPr>
                <w:b/>
              </w:rPr>
              <w:t>C</w:t>
            </w:r>
          </w:p>
        </w:tc>
        <w:tc>
          <w:tcPr>
            <w:tcW w:w="6940" w:type="dxa"/>
          </w:tcPr>
          <w:p w14:paraId="5AF4D0BD" w14:textId="1C5F9AEB" w:rsidR="009B6521" w:rsidRDefault="009B6521" w:rsidP="007A7E97">
            <w:r>
              <w:t>Gem. § 12 Abs. 3 S. 3 GKG ist mit Kostennachricht gem. § 26 KostVfg eine Vorauszahlung zu fordern. Sie wird gem. §§ 4 Abs. 2, 15 Abs. 1 und § 26 Abs. 1 vom Kläger/Antragsteller erfordert. Im maschinellen Verfahren handelt es sich um eine maschinelle Kostennachricht.</w:t>
            </w:r>
          </w:p>
        </w:tc>
      </w:tr>
    </w:tbl>
    <w:p w14:paraId="327172E2" w14:textId="77777777" w:rsidR="003004FB" w:rsidRPr="003004FB" w:rsidRDefault="003004FB" w:rsidP="003004FB">
      <w:pPr>
        <w:ind w:left="360"/>
        <w:rPr>
          <w:b/>
        </w:rPr>
      </w:pPr>
    </w:p>
    <w:sectPr w:rsidR="003004FB" w:rsidRPr="003004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6F04"/>
    <w:multiLevelType w:val="hybridMultilevel"/>
    <w:tmpl w:val="D6B6B460"/>
    <w:lvl w:ilvl="0" w:tplc="2CAAF4B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023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FB"/>
    <w:rsid w:val="0004318B"/>
    <w:rsid w:val="001D034A"/>
    <w:rsid w:val="00292017"/>
    <w:rsid w:val="002F654B"/>
    <w:rsid w:val="003004FB"/>
    <w:rsid w:val="00370CC0"/>
    <w:rsid w:val="007111A3"/>
    <w:rsid w:val="007A6C0C"/>
    <w:rsid w:val="00821930"/>
    <w:rsid w:val="00901B66"/>
    <w:rsid w:val="009079DA"/>
    <w:rsid w:val="009B6521"/>
    <w:rsid w:val="00BF22B5"/>
    <w:rsid w:val="00D5005F"/>
    <w:rsid w:val="00EA5E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3A9D"/>
  <w15:chartTrackingRefBased/>
  <w15:docId w15:val="{A8DDC069-7B92-4858-AFF5-B588C5DD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erlin Type Office" w:eastAsiaTheme="minorHAnsi" w:hAnsi="Berlin Type Office"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0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0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04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04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04F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04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04F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004F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04F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04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04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04F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04F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04F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004F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04F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004F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04F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00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04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04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04F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004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04FB"/>
    <w:rPr>
      <w:i/>
      <w:iCs/>
      <w:color w:val="404040" w:themeColor="text1" w:themeTint="BF"/>
    </w:rPr>
  </w:style>
  <w:style w:type="paragraph" w:styleId="Listenabsatz">
    <w:name w:val="List Paragraph"/>
    <w:basedOn w:val="Standard"/>
    <w:uiPriority w:val="34"/>
    <w:qFormat/>
    <w:rsid w:val="003004FB"/>
    <w:pPr>
      <w:ind w:left="720"/>
      <w:contextualSpacing/>
    </w:pPr>
  </w:style>
  <w:style w:type="character" w:styleId="IntensiveHervorhebung">
    <w:name w:val="Intense Emphasis"/>
    <w:basedOn w:val="Absatz-Standardschriftart"/>
    <w:uiPriority w:val="21"/>
    <w:qFormat/>
    <w:rsid w:val="003004FB"/>
    <w:rPr>
      <w:i/>
      <w:iCs/>
      <w:color w:val="0F4761" w:themeColor="accent1" w:themeShade="BF"/>
    </w:rPr>
  </w:style>
  <w:style w:type="paragraph" w:styleId="IntensivesZitat">
    <w:name w:val="Intense Quote"/>
    <w:basedOn w:val="Standard"/>
    <w:next w:val="Standard"/>
    <w:link w:val="IntensivesZitatZchn"/>
    <w:uiPriority w:val="30"/>
    <w:qFormat/>
    <w:rsid w:val="00300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04FB"/>
    <w:rPr>
      <w:i/>
      <w:iCs/>
      <w:color w:val="0F4761" w:themeColor="accent1" w:themeShade="BF"/>
    </w:rPr>
  </w:style>
  <w:style w:type="character" w:styleId="IntensiverVerweis">
    <w:name w:val="Intense Reference"/>
    <w:basedOn w:val="Absatz-Standardschriftart"/>
    <w:uiPriority w:val="32"/>
    <w:qFormat/>
    <w:rsid w:val="003004FB"/>
    <w:rPr>
      <w:b/>
      <w:bCs/>
      <w:smallCaps/>
      <w:color w:val="0F4761" w:themeColor="accent1" w:themeShade="BF"/>
      <w:spacing w:val="5"/>
    </w:rPr>
  </w:style>
  <w:style w:type="table" w:styleId="Tabellenraster">
    <w:name w:val="Table Grid"/>
    <w:basedOn w:val="NormaleTabelle"/>
    <w:uiPriority w:val="39"/>
    <w:rsid w:val="0030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Loo, Jonathan</dc:creator>
  <cp:keywords/>
  <dc:description/>
  <cp:lastModifiedBy>van der Loo, Jonathan</cp:lastModifiedBy>
  <cp:revision>3</cp:revision>
  <dcterms:created xsi:type="dcterms:W3CDTF">2025-11-20T09:53:00Z</dcterms:created>
  <dcterms:modified xsi:type="dcterms:W3CDTF">2025-11-22T08:22:00Z</dcterms:modified>
</cp:coreProperties>
</file>