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D65" w:rsidRDefault="002A1D65" w:rsidP="002A1D65">
      <w:pPr>
        <w:rPr>
          <w:b/>
          <w:sz w:val="28"/>
          <w:szCs w:val="28"/>
          <w:u w:val="single"/>
        </w:rPr>
      </w:pPr>
      <w:r>
        <w:rPr>
          <w:b/>
          <w:sz w:val="28"/>
          <w:szCs w:val="28"/>
          <w:u w:val="single"/>
        </w:rPr>
        <w:t>Lösungen/</w:t>
      </w:r>
      <w:r>
        <w:rPr>
          <w:b/>
          <w:sz w:val="28"/>
          <w:szCs w:val="28"/>
          <w:u w:val="single"/>
        </w:rPr>
        <w:t>Übungen in Nachlasssachen</w:t>
      </w:r>
    </w:p>
    <w:p w:rsidR="002A1D65" w:rsidRDefault="002A1D65" w:rsidP="002A1D65">
      <w:pPr>
        <w:rPr>
          <w:b/>
          <w:sz w:val="28"/>
          <w:szCs w:val="28"/>
          <w:u w:val="single"/>
        </w:rPr>
      </w:pPr>
    </w:p>
    <w:p w:rsidR="002A1D65" w:rsidRDefault="002A1D65" w:rsidP="002A1D65">
      <w:pPr>
        <w:pStyle w:val="Listenabsatz"/>
        <w:numPr>
          <w:ilvl w:val="0"/>
          <w:numId w:val="1"/>
        </w:numPr>
        <w:rPr>
          <w:sz w:val="28"/>
          <w:szCs w:val="28"/>
        </w:rPr>
      </w:pPr>
      <w:r>
        <w:rPr>
          <w:sz w:val="28"/>
          <w:szCs w:val="28"/>
        </w:rPr>
        <w:t>Beschreiben Sie, was passiert, wenn der Sterbefall eintritt.</w:t>
      </w:r>
    </w:p>
    <w:p w:rsidR="002A1D65" w:rsidRPr="002A1D65" w:rsidRDefault="002A1D65" w:rsidP="002A1D65">
      <w:pPr>
        <w:pStyle w:val="Listenabsatz"/>
        <w:ind w:left="1068"/>
        <w:rPr>
          <w:b/>
          <w:i/>
          <w:sz w:val="28"/>
          <w:szCs w:val="28"/>
        </w:rPr>
      </w:pPr>
      <w:r w:rsidRPr="002A1D65">
        <w:rPr>
          <w:b/>
          <w:i/>
          <w:sz w:val="28"/>
          <w:szCs w:val="28"/>
        </w:rPr>
        <w:t>Antwort: Das zuständige Standesamt des Sterbeorts erteilt die Sterbeurkunde und meldet den Sterbefall dem ZTR, dieses meldet den Tod dem Geburtsstandesamt und dem Nachlassgericht.</w:t>
      </w:r>
    </w:p>
    <w:p w:rsidR="002A1D65" w:rsidRDefault="002A1D65" w:rsidP="002A1D65">
      <w:pPr>
        <w:rPr>
          <w:sz w:val="28"/>
          <w:szCs w:val="28"/>
        </w:rPr>
      </w:pPr>
    </w:p>
    <w:p w:rsidR="002A1D65" w:rsidRDefault="002A1D65" w:rsidP="002A1D65">
      <w:pPr>
        <w:pStyle w:val="Listenabsatz"/>
        <w:numPr>
          <w:ilvl w:val="0"/>
          <w:numId w:val="1"/>
        </w:numPr>
        <w:rPr>
          <w:sz w:val="28"/>
          <w:szCs w:val="28"/>
        </w:rPr>
      </w:pPr>
      <w:r>
        <w:rPr>
          <w:sz w:val="28"/>
          <w:szCs w:val="28"/>
        </w:rPr>
        <w:t xml:space="preserve">Welche Unterlagen werden an das Nachlassgericht gesandt, wenn das </w:t>
      </w:r>
    </w:p>
    <w:p w:rsidR="002A1D65" w:rsidRDefault="002A1D65" w:rsidP="002A1D65">
      <w:pPr>
        <w:pStyle w:val="Listenabsatz"/>
        <w:rPr>
          <w:sz w:val="28"/>
          <w:szCs w:val="28"/>
        </w:rPr>
      </w:pPr>
    </w:p>
    <w:p w:rsidR="002A1D65" w:rsidRDefault="002A1D65" w:rsidP="002A1D65">
      <w:pPr>
        <w:pStyle w:val="Listenabsatz"/>
        <w:ind w:left="1068"/>
        <w:rPr>
          <w:sz w:val="28"/>
          <w:szCs w:val="28"/>
        </w:rPr>
      </w:pPr>
      <w:r>
        <w:rPr>
          <w:sz w:val="28"/>
          <w:szCs w:val="28"/>
        </w:rPr>
        <w:t>Nachlassgericht das Testament eröffnet?</w:t>
      </w:r>
    </w:p>
    <w:p w:rsidR="002A1D65" w:rsidRDefault="002A1D65" w:rsidP="002A1D65">
      <w:pPr>
        <w:pStyle w:val="Listenabsatz"/>
        <w:ind w:left="1068"/>
        <w:rPr>
          <w:sz w:val="28"/>
          <w:szCs w:val="28"/>
        </w:rPr>
      </w:pPr>
    </w:p>
    <w:p w:rsidR="002A1D65" w:rsidRDefault="002A1D65" w:rsidP="002A1D65">
      <w:pPr>
        <w:pStyle w:val="Listenabsatz"/>
        <w:ind w:left="1068"/>
        <w:rPr>
          <w:b/>
          <w:i/>
          <w:sz w:val="28"/>
          <w:szCs w:val="28"/>
        </w:rPr>
      </w:pPr>
      <w:r w:rsidRPr="002A1D65">
        <w:rPr>
          <w:b/>
          <w:i/>
          <w:sz w:val="28"/>
          <w:szCs w:val="28"/>
        </w:rPr>
        <w:t>Antwort: Das Originaltestament, den Originalverwahrumschlag, eine beglaubigte Abschrift des Eröffnungsprotokolls und ein Anschreiben</w:t>
      </w:r>
    </w:p>
    <w:p w:rsidR="002A1D65" w:rsidRDefault="002A1D65" w:rsidP="002A1D65">
      <w:pPr>
        <w:pStyle w:val="Listenabsatz"/>
        <w:ind w:left="1068"/>
        <w:rPr>
          <w:b/>
          <w:i/>
          <w:sz w:val="28"/>
          <w:szCs w:val="28"/>
        </w:rPr>
      </w:pPr>
      <w:r>
        <w:rPr>
          <w:b/>
          <w:i/>
          <w:sz w:val="28"/>
          <w:szCs w:val="28"/>
        </w:rPr>
        <w:t>Für das Verwahrgericht (</w:t>
      </w:r>
      <w:proofErr w:type="spellStart"/>
      <w:r>
        <w:rPr>
          <w:b/>
          <w:i/>
          <w:sz w:val="28"/>
          <w:szCs w:val="28"/>
        </w:rPr>
        <w:t>IVer</w:t>
      </w:r>
      <w:proofErr w:type="spellEnd"/>
      <w:r>
        <w:rPr>
          <w:b/>
          <w:i/>
          <w:sz w:val="28"/>
          <w:szCs w:val="28"/>
        </w:rPr>
        <w:t>-Akte) werden Kopien gefertigt.</w:t>
      </w:r>
    </w:p>
    <w:p w:rsidR="002A1D65" w:rsidRPr="002A1D65" w:rsidRDefault="002A1D65" w:rsidP="002A1D65">
      <w:pPr>
        <w:pStyle w:val="Listenabsatz"/>
        <w:ind w:left="1068"/>
        <w:rPr>
          <w:b/>
          <w:i/>
          <w:sz w:val="28"/>
          <w:szCs w:val="28"/>
        </w:rPr>
      </w:pPr>
      <w:r>
        <w:rPr>
          <w:b/>
          <w:i/>
          <w:sz w:val="28"/>
          <w:szCs w:val="28"/>
        </w:rPr>
        <w:t>Das Datum der Absendung wird zusätzlich im ZTR vermerkt!</w:t>
      </w:r>
    </w:p>
    <w:p w:rsidR="002A1D65" w:rsidRDefault="002A1D65" w:rsidP="002A1D65">
      <w:pPr>
        <w:rPr>
          <w:sz w:val="28"/>
          <w:szCs w:val="28"/>
        </w:rPr>
      </w:pPr>
    </w:p>
    <w:p w:rsidR="002A1D65" w:rsidRDefault="002A1D65" w:rsidP="002A1D65">
      <w:pPr>
        <w:pStyle w:val="Listenabsatz"/>
        <w:numPr>
          <w:ilvl w:val="0"/>
          <w:numId w:val="1"/>
        </w:numPr>
        <w:rPr>
          <w:sz w:val="28"/>
          <w:szCs w:val="28"/>
        </w:rPr>
      </w:pPr>
      <w:r>
        <w:rPr>
          <w:sz w:val="28"/>
          <w:szCs w:val="28"/>
        </w:rPr>
        <w:t>In welchem Gesetz wird die Testamentseröffnung beschrieben?</w:t>
      </w:r>
    </w:p>
    <w:p w:rsidR="002A1D65" w:rsidRPr="002A1D65" w:rsidRDefault="002A1D65" w:rsidP="002A1D65">
      <w:pPr>
        <w:pStyle w:val="Listenabsatz"/>
        <w:ind w:left="1068"/>
        <w:rPr>
          <w:b/>
          <w:i/>
          <w:sz w:val="28"/>
          <w:szCs w:val="28"/>
        </w:rPr>
      </w:pPr>
      <w:r w:rsidRPr="002A1D65">
        <w:rPr>
          <w:b/>
          <w:i/>
          <w:sz w:val="28"/>
          <w:szCs w:val="28"/>
        </w:rPr>
        <w:t xml:space="preserve">Antwort: </w:t>
      </w:r>
      <w:proofErr w:type="spellStart"/>
      <w:r w:rsidRPr="002A1D65">
        <w:rPr>
          <w:b/>
          <w:i/>
          <w:sz w:val="28"/>
          <w:szCs w:val="28"/>
        </w:rPr>
        <w:t>FamFG</w:t>
      </w:r>
      <w:proofErr w:type="spellEnd"/>
      <w:r w:rsidRPr="002A1D65">
        <w:rPr>
          <w:b/>
          <w:i/>
          <w:sz w:val="28"/>
          <w:szCs w:val="28"/>
        </w:rPr>
        <w:t xml:space="preserve"> ( § 348ff </w:t>
      </w:r>
      <w:proofErr w:type="spellStart"/>
      <w:r w:rsidRPr="002A1D65">
        <w:rPr>
          <w:b/>
          <w:i/>
          <w:sz w:val="28"/>
          <w:szCs w:val="28"/>
        </w:rPr>
        <w:t>FamFG</w:t>
      </w:r>
      <w:proofErr w:type="spellEnd"/>
      <w:r w:rsidRPr="002A1D65">
        <w:rPr>
          <w:b/>
          <w:i/>
          <w:sz w:val="28"/>
          <w:szCs w:val="28"/>
        </w:rPr>
        <w:t>)</w:t>
      </w:r>
    </w:p>
    <w:p w:rsidR="002A1D65" w:rsidRDefault="002A1D65" w:rsidP="002A1D65">
      <w:pPr>
        <w:rPr>
          <w:sz w:val="28"/>
          <w:szCs w:val="28"/>
        </w:rPr>
      </w:pPr>
    </w:p>
    <w:p w:rsidR="002A1D65" w:rsidRDefault="002A1D65" w:rsidP="002A1D65">
      <w:pPr>
        <w:pStyle w:val="Listenabsatz"/>
        <w:numPr>
          <w:ilvl w:val="0"/>
          <w:numId w:val="1"/>
        </w:numPr>
        <w:rPr>
          <w:sz w:val="28"/>
          <w:szCs w:val="28"/>
        </w:rPr>
      </w:pPr>
      <w:r>
        <w:rPr>
          <w:sz w:val="28"/>
          <w:szCs w:val="28"/>
        </w:rPr>
        <w:t>Was ist die Besonderheit bei der Eröffnung von gemeinschaftlichen Testamenten?</w:t>
      </w:r>
    </w:p>
    <w:p w:rsidR="002A1D65" w:rsidRPr="000B2448" w:rsidRDefault="002A1D65" w:rsidP="002A1D65">
      <w:pPr>
        <w:pStyle w:val="Listenabsatz"/>
        <w:ind w:left="1068"/>
        <w:rPr>
          <w:b/>
          <w:i/>
          <w:sz w:val="28"/>
          <w:szCs w:val="28"/>
        </w:rPr>
      </w:pPr>
      <w:r w:rsidRPr="000B2448">
        <w:rPr>
          <w:b/>
          <w:i/>
          <w:sz w:val="28"/>
          <w:szCs w:val="28"/>
        </w:rPr>
        <w:t xml:space="preserve">Antwort: </w:t>
      </w:r>
      <w:r w:rsidR="000B2448" w:rsidRPr="000B2448">
        <w:rPr>
          <w:b/>
          <w:i/>
          <w:sz w:val="28"/>
          <w:szCs w:val="28"/>
        </w:rPr>
        <w:t xml:space="preserve">Das Testament wird zunächst nach dem Erstversterbenden eröffnet. Gemäß § 349 (2) S.1 und 2 </w:t>
      </w:r>
      <w:proofErr w:type="spellStart"/>
      <w:r w:rsidR="000B2448" w:rsidRPr="000B2448">
        <w:rPr>
          <w:b/>
          <w:i/>
          <w:sz w:val="28"/>
          <w:szCs w:val="28"/>
        </w:rPr>
        <w:t>FamFG</w:t>
      </w:r>
      <w:proofErr w:type="spellEnd"/>
      <w:r w:rsidR="000B2448" w:rsidRPr="000B2448">
        <w:rPr>
          <w:b/>
          <w:i/>
          <w:sz w:val="28"/>
          <w:szCs w:val="28"/>
        </w:rPr>
        <w:t xml:space="preserve"> ist das Testament, nachdem eine beglaubigte Kopie gefertigt wurde, wieder zu verschließen und erneut in die amtliche Verwahrung zunehmen.</w:t>
      </w:r>
    </w:p>
    <w:p w:rsidR="002A1D65" w:rsidRDefault="002A1D65" w:rsidP="002A1D65">
      <w:pPr>
        <w:pStyle w:val="Listenabsatz"/>
        <w:rPr>
          <w:sz w:val="28"/>
          <w:szCs w:val="28"/>
        </w:rPr>
      </w:pPr>
    </w:p>
    <w:p w:rsidR="002A1D65" w:rsidRDefault="002A1D65" w:rsidP="002A1D65">
      <w:pPr>
        <w:pStyle w:val="Listenabsatz"/>
        <w:numPr>
          <w:ilvl w:val="0"/>
          <w:numId w:val="1"/>
        </w:numPr>
        <w:rPr>
          <w:sz w:val="28"/>
          <w:szCs w:val="28"/>
        </w:rPr>
      </w:pPr>
      <w:r>
        <w:rPr>
          <w:sz w:val="28"/>
          <w:szCs w:val="28"/>
        </w:rPr>
        <w:t>Was ist das ZTR und welche Aufgaben hat es?</w:t>
      </w:r>
    </w:p>
    <w:p w:rsidR="00506103" w:rsidRPr="006B6209" w:rsidRDefault="006B6209" w:rsidP="00506103">
      <w:pPr>
        <w:pStyle w:val="Listenabsatz"/>
        <w:ind w:left="1068"/>
        <w:rPr>
          <w:b/>
          <w:i/>
          <w:sz w:val="28"/>
          <w:szCs w:val="28"/>
        </w:rPr>
      </w:pPr>
      <w:r w:rsidRPr="006B6209">
        <w:rPr>
          <w:b/>
          <w:i/>
          <w:sz w:val="28"/>
          <w:szCs w:val="28"/>
        </w:rPr>
        <w:t xml:space="preserve">Antwort: </w:t>
      </w:r>
      <w:r w:rsidR="00506103" w:rsidRPr="006B6209">
        <w:rPr>
          <w:b/>
          <w:i/>
          <w:sz w:val="28"/>
          <w:szCs w:val="28"/>
        </w:rPr>
        <w:t>Das ZTR dient als Register</w:t>
      </w:r>
      <w:r w:rsidRPr="006B6209">
        <w:rPr>
          <w:b/>
          <w:i/>
          <w:sz w:val="28"/>
          <w:szCs w:val="28"/>
        </w:rPr>
        <w:t xml:space="preserve"> (zentrale Stelle)</w:t>
      </w:r>
      <w:r w:rsidR="00506103" w:rsidRPr="006B6209">
        <w:rPr>
          <w:b/>
          <w:i/>
          <w:sz w:val="28"/>
          <w:szCs w:val="28"/>
        </w:rPr>
        <w:t xml:space="preserve"> </w:t>
      </w:r>
      <w:r w:rsidRPr="006B6209">
        <w:rPr>
          <w:b/>
          <w:i/>
          <w:sz w:val="28"/>
          <w:szCs w:val="28"/>
        </w:rPr>
        <w:t>für verwahrte Verfügungen von Todes wegen. Ist bei der Bundesnotarkammer angegliedert. Die Verwahrung ist kostenpflichtig. Das ZTR informiert Notare und Verwahrgerichte. Zusätzlich dient es der Informationsweitergabe im Sterbefall. (Schnittstelle Sterbestandesamt/Verwahrgericht/Nachlassgericht)</w:t>
      </w:r>
    </w:p>
    <w:p w:rsidR="000B2448" w:rsidRPr="006B6209" w:rsidRDefault="000B2448" w:rsidP="000B2448">
      <w:pPr>
        <w:pStyle w:val="Listenabsatz"/>
        <w:ind w:left="1068"/>
        <w:rPr>
          <w:b/>
          <w:i/>
          <w:sz w:val="28"/>
          <w:szCs w:val="28"/>
        </w:rPr>
      </w:pPr>
    </w:p>
    <w:p w:rsidR="002A1D65" w:rsidRPr="006B6209" w:rsidRDefault="002A1D65" w:rsidP="002A1D65">
      <w:pPr>
        <w:pStyle w:val="Listenabsatz"/>
        <w:rPr>
          <w:b/>
          <w:i/>
          <w:sz w:val="28"/>
          <w:szCs w:val="28"/>
        </w:rPr>
      </w:pPr>
    </w:p>
    <w:p w:rsidR="002A1D65" w:rsidRDefault="002A1D65" w:rsidP="002A1D65">
      <w:pPr>
        <w:pStyle w:val="Listenabsatz"/>
        <w:numPr>
          <w:ilvl w:val="0"/>
          <w:numId w:val="1"/>
        </w:numPr>
        <w:rPr>
          <w:sz w:val="28"/>
          <w:szCs w:val="28"/>
        </w:rPr>
      </w:pPr>
      <w:r>
        <w:rPr>
          <w:sz w:val="28"/>
          <w:szCs w:val="28"/>
        </w:rPr>
        <w:t>Frau Luchs, wohnhaft gewesen in Berlin Pankow hat Ihr Testament zu Lebzeiten beim Amtsgericht München zur amtlichen Verwahrung gegeben. Nun ist sie plötzlich in Berlin Wedding verstorben. Welches Gericht ist für die Eröffnung des Testaments zuständig? Geben Sie die gesetzliche Grundlage an.</w:t>
      </w:r>
    </w:p>
    <w:p w:rsidR="002A1D65" w:rsidRDefault="006B6209" w:rsidP="006B6209">
      <w:pPr>
        <w:pStyle w:val="Listenabsatz"/>
        <w:ind w:left="1068"/>
        <w:rPr>
          <w:b/>
          <w:i/>
          <w:sz w:val="28"/>
          <w:szCs w:val="28"/>
        </w:rPr>
      </w:pPr>
      <w:r w:rsidRPr="00FA0693">
        <w:rPr>
          <w:b/>
          <w:i/>
          <w:sz w:val="28"/>
          <w:szCs w:val="28"/>
        </w:rPr>
        <w:t xml:space="preserve">Antwort: Gem. § 343 (1) </w:t>
      </w:r>
      <w:proofErr w:type="spellStart"/>
      <w:r w:rsidRPr="00FA0693">
        <w:rPr>
          <w:b/>
          <w:i/>
          <w:sz w:val="28"/>
          <w:szCs w:val="28"/>
        </w:rPr>
        <w:t>FamFG</w:t>
      </w:r>
      <w:proofErr w:type="spellEnd"/>
      <w:r w:rsidR="00FA0693" w:rsidRPr="00FA0693">
        <w:rPr>
          <w:b/>
          <w:i/>
          <w:sz w:val="28"/>
          <w:szCs w:val="28"/>
        </w:rPr>
        <w:t xml:space="preserve"> das Gericht, bei dem Frau Luchs ihren letzten Wohnsitz hatte, also das AG Pankow, Aber!!! Gem. § 344 ( 6) </w:t>
      </w:r>
      <w:proofErr w:type="spellStart"/>
      <w:r w:rsidR="00FA0693" w:rsidRPr="00FA0693">
        <w:rPr>
          <w:b/>
          <w:i/>
          <w:sz w:val="28"/>
          <w:szCs w:val="28"/>
        </w:rPr>
        <w:t>FamFG</w:t>
      </w:r>
      <w:proofErr w:type="spellEnd"/>
      <w:r w:rsidR="00FA0693" w:rsidRPr="00FA0693">
        <w:rPr>
          <w:b/>
          <w:i/>
          <w:sz w:val="28"/>
          <w:szCs w:val="28"/>
        </w:rPr>
        <w:t xml:space="preserve"> das AG München !</w:t>
      </w:r>
    </w:p>
    <w:p w:rsidR="00FA0693" w:rsidRPr="00FA0693" w:rsidRDefault="00FA0693" w:rsidP="006B6209">
      <w:pPr>
        <w:pStyle w:val="Listenabsatz"/>
        <w:ind w:left="1068"/>
        <w:rPr>
          <w:b/>
          <w:i/>
          <w:sz w:val="28"/>
          <w:szCs w:val="28"/>
        </w:rPr>
      </w:pPr>
    </w:p>
    <w:p w:rsidR="002A1D65" w:rsidRDefault="002A1D65" w:rsidP="002A1D65">
      <w:pPr>
        <w:pStyle w:val="Listenabsatz"/>
        <w:numPr>
          <w:ilvl w:val="0"/>
          <w:numId w:val="1"/>
        </w:numPr>
        <w:rPr>
          <w:sz w:val="28"/>
          <w:szCs w:val="28"/>
        </w:rPr>
      </w:pPr>
      <w:r>
        <w:rPr>
          <w:sz w:val="28"/>
          <w:szCs w:val="28"/>
        </w:rPr>
        <w:t>In welche</w:t>
      </w:r>
      <w:r w:rsidR="00FA0693">
        <w:rPr>
          <w:sz w:val="28"/>
          <w:szCs w:val="28"/>
        </w:rPr>
        <w:t>n</w:t>
      </w:r>
      <w:r>
        <w:rPr>
          <w:sz w:val="28"/>
          <w:szCs w:val="28"/>
        </w:rPr>
        <w:t xml:space="preserve"> Paragraphen ist die Ablieferungspflicht für aufgefundene Testamente beschrieben?</w:t>
      </w:r>
    </w:p>
    <w:p w:rsidR="002A1D65" w:rsidRPr="00FA0693" w:rsidRDefault="00FA0693" w:rsidP="00FA0693">
      <w:pPr>
        <w:pStyle w:val="Listenabsatz"/>
        <w:ind w:left="1068"/>
        <w:rPr>
          <w:b/>
          <w:i/>
          <w:sz w:val="28"/>
          <w:szCs w:val="28"/>
        </w:rPr>
      </w:pPr>
      <w:r w:rsidRPr="00FA0693">
        <w:rPr>
          <w:b/>
          <w:i/>
          <w:sz w:val="28"/>
          <w:szCs w:val="28"/>
        </w:rPr>
        <w:t xml:space="preserve">Antwort: § 2259 BGB und §358 </w:t>
      </w:r>
      <w:proofErr w:type="spellStart"/>
      <w:r w:rsidRPr="00FA0693">
        <w:rPr>
          <w:b/>
          <w:i/>
          <w:sz w:val="28"/>
          <w:szCs w:val="28"/>
        </w:rPr>
        <w:t>FamFG</w:t>
      </w:r>
      <w:proofErr w:type="spellEnd"/>
    </w:p>
    <w:p w:rsidR="00FA0693" w:rsidRDefault="00FA0693" w:rsidP="00FA0693">
      <w:pPr>
        <w:pStyle w:val="Listenabsatz"/>
        <w:ind w:left="1068"/>
        <w:rPr>
          <w:sz w:val="28"/>
          <w:szCs w:val="28"/>
        </w:rPr>
      </w:pPr>
    </w:p>
    <w:p w:rsidR="002A1D65" w:rsidRDefault="002A1D65" w:rsidP="002A1D65">
      <w:pPr>
        <w:pStyle w:val="Listenabsatz"/>
        <w:numPr>
          <w:ilvl w:val="0"/>
          <w:numId w:val="1"/>
        </w:numPr>
        <w:rPr>
          <w:sz w:val="28"/>
          <w:szCs w:val="28"/>
        </w:rPr>
      </w:pPr>
      <w:r>
        <w:rPr>
          <w:sz w:val="28"/>
          <w:szCs w:val="28"/>
        </w:rPr>
        <w:t>Die Eheleute Süß hatten ein gemeinschaftliches Testament erstellt, nun lassen Sie sich scheiden. Sind Sie weiterhin an Ihren ehemals gemeinschaftlichen letzten Willen gebunden? Begründen Sie Ihre Antwort mit Angabe der gesetzlichen Vorschrift.</w:t>
      </w:r>
    </w:p>
    <w:p w:rsidR="002A1D65" w:rsidRDefault="002A1D65" w:rsidP="002A1D65">
      <w:pPr>
        <w:pStyle w:val="Listenabsatz"/>
        <w:rPr>
          <w:sz w:val="28"/>
          <w:szCs w:val="28"/>
        </w:rPr>
      </w:pPr>
    </w:p>
    <w:p w:rsidR="00FA0693" w:rsidRDefault="00FA0693" w:rsidP="00FA0693">
      <w:pPr>
        <w:pStyle w:val="Listenabsatz"/>
        <w:ind w:left="1068"/>
        <w:rPr>
          <w:b/>
          <w:i/>
          <w:sz w:val="28"/>
          <w:szCs w:val="28"/>
        </w:rPr>
      </w:pPr>
      <w:r w:rsidRPr="005405E7">
        <w:rPr>
          <w:b/>
          <w:i/>
          <w:sz w:val="28"/>
          <w:szCs w:val="28"/>
        </w:rPr>
        <w:t>Antwort: Gemäß §</w:t>
      </w:r>
      <w:r w:rsidR="005405E7" w:rsidRPr="005405E7">
        <w:rPr>
          <w:b/>
          <w:i/>
          <w:sz w:val="28"/>
          <w:szCs w:val="28"/>
        </w:rPr>
        <w:t xml:space="preserve">§ </w:t>
      </w:r>
      <w:r w:rsidRPr="005405E7">
        <w:rPr>
          <w:b/>
          <w:i/>
          <w:sz w:val="28"/>
          <w:szCs w:val="28"/>
        </w:rPr>
        <w:t xml:space="preserve">2268 </w:t>
      </w:r>
      <w:r w:rsidR="005405E7" w:rsidRPr="005405E7">
        <w:rPr>
          <w:b/>
          <w:i/>
          <w:sz w:val="28"/>
          <w:szCs w:val="28"/>
        </w:rPr>
        <w:t>und 2077 BGB ist ein gemeinschaftliches Testament, aber auch ein Einzeltestament mit Auflösung der Ehe unwirksam.</w:t>
      </w:r>
    </w:p>
    <w:p w:rsidR="005405E7" w:rsidRPr="005405E7" w:rsidRDefault="005405E7" w:rsidP="00FA0693">
      <w:pPr>
        <w:pStyle w:val="Listenabsatz"/>
        <w:ind w:left="1068"/>
        <w:rPr>
          <w:b/>
          <w:i/>
          <w:sz w:val="28"/>
          <w:szCs w:val="28"/>
        </w:rPr>
      </w:pPr>
    </w:p>
    <w:p w:rsidR="002A1D65" w:rsidRDefault="002A1D65" w:rsidP="002A1D65">
      <w:pPr>
        <w:pStyle w:val="Listenabsatz"/>
        <w:numPr>
          <w:ilvl w:val="0"/>
          <w:numId w:val="1"/>
        </w:numPr>
        <w:rPr>
          <w:sz w:val="28"/>
          <w:szCs w:val="28"/>
        </w:rPr>
      </w:pPr>
      <w:r>
        <w:rPr>
          <w:sz w:val="28"/>
          <w:szCs w:val="28"/>
        </w:rPr>
        <w:t>Wer ist für die amtliche Verwahrung eines Testaments funktionell zuständig?</w:t>
      </w:r>
    </w:p>
    <w:p w:rsidR="005405E7" w:rsidRPr="00F556B3" w:rsidRDefault="005405E7" w:rsidP="005405E7">
      <w:pPr>
        <w:pStyle w:val="Listenabsatz"/>
        <w:ind w:left="1068"/>
        <w:rPr>
          <w:b/>
          <w:i/>
          <w:sz w:val="28"/>
          <w:szCs w:val="28"/>
        </w:rPr>
      </w:pPr>
    </w:p>
    <w:p w:rsidR="005405E7" w:rsidRPr="00F556B3" w:rsidRDefault="00F556B3" w:rsidP="005405E7">
      <w:pPr>
        <w:pStyle w:val="Listenabsatz"/>
        <w:ind w:left="1068"/>
        <w:rPr>
          <w:b/>
          <w:i/>
          <w:sz w:val="28"/>
          <w:szCs w:val="28"/>
        </w:rPr>
      </w:pPr>
      <w:r w:rsidRPr="00F556B3">
        <w:rPr>
          <w:b/>
          <w:i/>
          <w:sz w:val="28"/>
          <w:szCs w:val="28"/>
        </w:rPr>
        <w:t xml:space="preserve">Antwort: </w:t>
      </w:r>
      <w:r w:rsidR="005405E7" w:rsidRPr="00F556B3">
        <w:rPr>
          <w:b/>
          <w:i/>
          <w:sz w:val="28"/>
          <w:szCs w:val="28"/>
        </w:rPr>
        <w:t xml:space="preserve">Der Rechtspfleger und der </w:t>
      </w:r>
      <w:proofErr w:type="spellStart"/>
      <w:r w:rsidR="005405E7" w:rsidRPr="00F556B3">
        <w:rPr>
          <w:b/>
          <w:i/>
          <w:sz w:val="28"/>
          <w:szCs w:val="28"/>
        </w:rPr>
        <w:t>UdG</w:t>
      </w:r>
      <w:proofErr w:type="spellEnd"/>
    </w:p>
    <w:p w:rsidR="002A1D65" w:rsidRDefault="002A1D65" w:rsidP="002A1D65">
      <w:pPr>
        <w:pStyle w:val="Listenabsatz"/>
        <w:rPr>
          <w:sz w:val="28"/>
          <w:szCs w:val="28"/>
        </w:rPr>
      </w:pPr>
    </w:p>
    <w:p w:rsidR="002A1D65" w:rsidRDefault="002A1D65" w:rsidP="002A1D65">
      <w:pPr>
        <w:pStyle w:val="Listenabsatz"/>
        <w:numPr>
          <w:ilvl w:val="0"/>
          <w:numId w:val="1"/>
        </w:numPr>
        <w:rPr>
          <w:sz w:val="28"/>
          <w:szCs w:val="28"/>
        </w:rPr>
      </w:pPr>
      <w:r>
        <w:rPr>
          <w:sz w:val="28"/>
          <w:szCs w:val="28"/>
        </w:rPr>
        <w:t>Herr Rechtsanwalt Mutig möchte für seinen Mandanten Herrn Froh ein in amtliche Verwahrung gegebenes Testament beim Verwahrgericht abholen. Er legt dem UDG eine entsprechende Vollmacht und den Hinterlegungsschein vor. Wie würden Sie in dieser Situation handeln?</w:t>
      </w:r>
    </w:p>
    <w:p w:rsidR="00F556B3" w:rsidRDefault="00F556B3" w:rsidP="00F556B3">
      <w:pPr>
        <w:pStyle w:val="Listenabsatz"/>
        <w:ind w:left="1068"/>
        <w:rPr>
          <w:sz w:val="28"/>
          <w:szCs w:val="28"/>
        </w:rPr>
      </w:pPr>
    </w:p>
    <w:p w:rsidR="00F556B3" w:rsidRPr="00F556B3" w:rsidRDefault="00F556B3" w:rsidP="00F556B3">
      <w:pPr>
        <w:pStyle w:val="Listenabsatz"/>
        <w:ind w:left="1068"/>
        <w:rPr>
          <w:b/>
          <w:i/>
          <w:sz w:val="28"/>
          <w:szCs w:val="28"/>
        </w:rPr>
      </w:pPr>
      <w:r w:rsidRPr="00F556B3">
        <w:rPr>
          <w:b/>
          <w:i/>
          <w:sz w:val="28"/>
          <w:szCs w:val="28"/>
        </w:rPr>
        <w:t>Antwort: Die Herausgabe kann gem. § 2256 (2) nur an den Erblasser selbst erfolgen.</w:t>
      </w:r>
    </w:p>
    <w:p w:rsidR="002A1D65" w:rsidRDefault="002A1D65" w:rsidP="002A1D65">
      <w:pPr>
        <w:pStyle w:val="Listenabsatz"/>
        <w:rPr>
          <w:sz w:val="28"/>
          <w:szCs w:val="28"/>
        </w:rPr>
      </w:pPr>
    </w:p>
    <w:p w:rsidR="00F556B3" w:rsidRDefault="00F556B3" w:rsidP="002A1D65">
      <w:pPr>
        <w:pStyle w:val="Listenabsatz"/>
        <w:rPr>
          <w:sz w:val="28"/>
          <w:szCs w:val="28"/>
        </w:rPr>
      </w:pPr>
    </w:p>
    <w:p w:rsidR="00F556B3" w:rsidRDefault="00F556B3" w:rsidP="002A1D65">
      <w:pPr>
        <w:pStyle w:val="Listenabsatz"/>
        <w:rPr>
          <w:sz w:val="28"/>
          <w:szCs w:val="28"/>
        </w:rPr>
      </w:pPr>
    </w:p>
    <w:p w:rsidR="002A1D65" w:rsidRDefault="002A1D65" w:rsidP="002A1D65">
      <w:pPr>
        <w:pStyle w:val="Listenabsatz"/>
        <w:numPr>
          <w:ilvl w:val="0"/>
          <w:numId w:val="1"/>
        </w:numPr>
        <w:rPr>
          <w:sz w:val="28"/>
          <w:szCs w:val="28"/>
        </w:rPr>
      </w:pPr>
      <w:r>
        <w:rPr>
          <w:sz w:val="28"/>
          <w:szCs w:val="28"/>
        </w:rPr>
        <w:lastRenderedPageBreak/>
        <w:t xml:space="preserve">Wer trägt die Beerdigungskosten? Geben Sie die gesetzliche </w:t>
      </w:r>
    </w:p>
    <w:p w:rsidR="002A1D65" w:rsidRDefault="002A1D65" w:rsidP="002A1D65">
      <w:pPr>
        <w:pStyle w:val="Listenabsatz"/>
        <w:ind w:left="1068"/>
        <w:rPr>
          <w:sz w:val="28"/>
          <w:szCs w:val="28"/>
        </w:rPr>
      </w:pPr>
      <w:r>
        <w:rPr>
          <w:sz w:val="28"/>
          <w:szCs w:val="28"/>
        </w:rPr>
        <w:t>Grundlage an.</w:t>
      </w:r>
    </w:p>
    <w:p w:rsidR="00F556B3" w:rsidRPr="00F556B3" w:rsidRDefault="00F556B3" w:rsidP="002A1D65">
      <w:pPr>
        <w:pStyle w:val="Listenabsatz"/>
        <w:ind w:left="1068"/>
        <w:rPr>
          <w:b/>
          <w:i/>
          <w:sz w:val="28"/>
          <w:szCs w:val="28"/>
        </w:rPr>
      </w:pPr>
      <w:r w:rsidRPr="00F556B3">
        <w:rPr>
          <w:b/>
          <w:i/>
          <w:sz w:val="28"/>
          <w:szCs w:val="28"/>
        </w:rPr>
        <w:t>Antwort: Gem. § 1968 BGB trägt der Erbe die Beerdigungskosten.</w:t>
      </w:r>
    </w:p>
    <w:p w:rsidR="002A1D65" w:rsidRDefault="002A1D65" w:rsidP="002A1D65">
      <w:pPr>
        <w:rPr>
          <w:sz w:val="28"/>
          <w:szCs w:val="28"/>
        </w:rPr>
      </w:pPr>
      <w:bookmarkStart w:id="0" w:name="_GoBack"/>
      <w:bookmarkEnd w:id="0"/>
    </w:p>
    <w:p w:rsidR="002A1D65" w:rsidRDefault="002A1D65" w:rsidP="002A1D65">
      <w:pPr>
        <w:pStyle w:val="Listenabsatz"/>
        <w:numPr>
          <w:ilvl w:val="0"/>
          <w:numId w:val="1"/>
        </w:numPr>
        <w:rPr>
          <w:sz w:val="28"/>
          <w:szCs w:val="28"/>
        </w:rPr>
      </w:pPr>
      <w:r>
        <w:rPr>
          <w:sz w:val="28"/>
          <w:szCs w:val="28"/>
        </w:rPr>
        <w:t>Was ist ein Nacherbe?</w:t>
      </w:r>
    </w:p>
    <w:p w:rsidR="00F556B3" w:rsidRPr="00F556B3" w:rsidRDefault="00F556B3" w:rsidP="00F556B3">
      <w:pPr>
        <w:pStyle w:val="Listenabsatz"/>
        <w:ind w:left="1068"/>
        <w:rPr>
          <w:b/>
          <w:i/>
          <w:sz w:val="28"/>
          <w:szCs w:val="28"/>
        </w:rPr>
      </w:pPr>
      <w:r w:rsidRPr="00F556B3">
        <w:rPr>
          <w:b/>
          <w:i/>
          <w:sz w:val="28"/>
          <w:szCs w:val="28"/>
        </w:rPr>
        <w:t>Antwort: Gem. § 2100 ist ein Nacherbe ein Erbe, der erst nach einem anderen Erben die Erbschaft erhält.</w:t>
      </w:r>
    </w:p>
    <w:p w:rsidR="00531B7F" w:rsidRDefault="00531B7F"/>
    <w:sectPr w:rsidR="00531B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91B28"/>
    <w:multiLevelType w:val="hybridMultilevel"/>
    <w:tmpl w:val="4FDACA52"/>
    <w:lvl w:ilvl="0" w:tplc="60D687B2">
      <w:start w:val="1"/>
      <w:numFmt w:val="decimal"/>
      <w:lvlText w:val="%1)"/>
      <w:lvlJc w:val="left"/>
      <w:pPr>
        <w:ind w:left="1068" w:hanging="360"/>
      </w:pPr>
      <w:rPr>
        <w:b w:val="0"/>
        <w:sz w:val="24"/>
        <w:szCs w:val="24"/>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65"/>
    <w:rsid w:val="000B2448"/>
    <w:rsid w:val="002A1D65"/>
    <w:rsid w:val="00506103"/>
    <w:rsid w:val="00531B7F"/>
    <w:rsid w:val="005405E7"/>
    <w:rsid w:val="006B6209"/>
    <w:rsid w:val="00C10AE0"/>
    <w:rsid w:val="00F556B3"/>
    <w:rsid w:val="00FA06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A04A"/>
  <w15:chartTrackingRefBased/>
  <w15:docId w15:val="{1C0E9318-F8C6-4FD4-A713-90F1EC58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A1D65"/>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1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1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2714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Neuendorf-Schulz, Simone</dc:creator>
  <cp:keywords/>
  <dc:description/>
  <cp:lastModifiedBy>Neuendorf-Schulz, Simone</cp:lastModifiedBy>
  <cp:revision>2</cp:revision>
  <dcterms:created xsi:type="dcterms:W3CDTF">2024-11-20T08:02:00Z</dcterms:created>
  <dcterms:modified xsi:type="dcterms:W3CDTF">2024-11-20T09:02:00Z</dcterms:modified>
</cp:coreProperties>
</file>