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6DD88" w14:textId="6B54D26E" w:rsidR="00E31F94" w:rsidRDefault="00E31F94" w:rsidP="00E31F94">
      <w:pPr>
        <w:jc w:val="center"/>
        <w:rPr>
          <w:rFonts w:ascii="Arial" w:hAnsi="Arial" w:cs="Arial"/>
          <w:b/>
          <w:u w:val="single"/>
        </w:rPr>
      </w:pPr>
      <w:r>
        <w:rPr>
          <w:rFonts w:ascii="Arial" w:hAnsi="Arial" w:cs="Arial"/>
          <w:b/>
          <w:u w:val="single"/>
        </w:rPr>
        <w:t xml:space="preserve">Übungsblatt IV - Schlusskostenrechnung – Lösung Aufgabe </w:t>
      </w:r>
      <w:r>
        <w:rPr>
          <w:rFonts w:ascii="Arial" w:hAnsi="Arial" w:cs="Arial"/>
          <w:b/>
          <w:u w:val="single"/>
        </w:rPr>
        <w:t>3</w:t>
      </w:r>
    </w:p>
    <w:p w14:paraId="58C5B7A6" w14:textId="14EFDEDC" w:rsidR="00E31F94" w:rsidRDefault="00E31F94" w:rsidP="00E31F94">
      <w:pPr>
        <w:pStyle w:val="Listenabsatz"/>
        <w:ind w:left="0"/>
        <w:jc w:val="both"/>
        <w:rPr>
          <w:rFonts w:ascii="Arial" w:hAnsi="Arial" w:cs="Arial"/>
        </w:rPr>
      </w:pPr>
      <w:r w:rsidRPr="00E31F94">
        <w:rPr>
          <w:rFonts w:ascii="Arial" w:hAnsi="Arial" w:cs="Arial"/>
          <w:b/>
          <w:bCs/>
          <w:u w:val="single"/>
        </w:rPr>
        <w:t>Sachverhalt</w:t>
      </w:r>
      <w:r>
        <w:rPr>
          <w:rFonts w:ascii="Arial" w:hAnsi="Arial" w:cs="Arial"/>
        </w:rPr>
        <w:t xml:space="preserve">: </w:t>
      </w:r>
      <w:r w:rsidRPr="008536A3">
        <w:rPr>
          <w:rFonts w:ascii="Arial" w:hAnsi="Arial" w:cs="Arial"/>
        </w:rPr>
        <w:t xml:space="preserve">K verklagt </w:t>
      </w:r>
      <w:proofErr w:type="spellStart"/>
      <w:r w:rsidRPr="008536A3">
        <w:rPr>
          <w:rFonts w:ascii="Arial" w:hAnsi="Arial" w:cs="Arial"/>
        </w:rPr>
        <w:t>B1</w:t>
      </w:r>
      <w:proofErr w:type="spellEnd"/>
      <w:r w:rsidRPr="008536A3">
        <w:rPr>
          <w:rFonts w:ascii="Arial" w:hAnsi="Arial" w:cs="Arial"/>
        </w:rPr>
        <w:t xml:space="preserve"> und </w:t>
      </w:r>
      <w:proofErr w:type="spellStart"/>
      <w:r w:rsidRPr="008536A3">
        <w:rPr>
          <w:rFonts w:ascii="Arial" w:hAnsi="Arial" w:cs="Arial"/>
        </w:rPr>
        <w:t>B2</w:t>
      </w:r>
      <w:proofErr w:type="spellEnd"/>
      <w:r w:rsidRPr="008536A3">
        <w:rPr>
          <w:rFonts w:ascii="Arial" w:hAnsi="Arial" w:cs="Arial"/>
        </w:rPr>
        <w:t xml:space="preserve"> auf Zahlung von 13.002,00 EUR als Gesamtschuldner. Der Klage ist ein Verrechnungsscheck in der richtig berechneten Höhe für die Gerichtskosten beigefügt. Nach Zustellung der Klageschrift an die Beklagten wird früher erster Termin anberaumt.</w:t>
      </w:r>
    </w:p>
    <w:p w14:paraId="6B2289CB" w14:textId="77777777" w:rsidR="00E31F94" w:rsidRPr="008536A3" w:rsidRDefault="00E31F94" w:rsidP="00E31F94">
      <w:pPr>
        <w:pStyle w:val="Listenabsatz"/>
        <w:ind w:left="0"/>
        <w:jc w:val="both"/>
        <w:rPr>
          <w:rFonts w:ascii="Arial" w:hAnsi="Arial" w:cs="Arial"/>
        </w:rPr>
      </w:pPr>
    </w:p>
    <w:p w14:paraId="34232DF4" w14:textId="77777777" w:rsidR="00E31F94" w:rsidRPr="008536A3" w:rsidRDefault="00E31F94" w:rsidP="00E31F94">
      <w:pPr>
        <w:pStyle w:val="Listenabsatz"/>
        <w:ind w:left="0"/>
        <w:jc w:val="both"/>
        <w:rPr>
          <w:rFonts w:ascii="Arial" w:hAnsi="Arial" w:cs="Arial"/>
        </w:rPr>
      </w:pPr>
      <w:r w:rsidRPr="008536A3">
        <w:rPr>
          <w:rFonts w:ascii="Arial" w:hAnsi="Arial" w:cs="Arial"/>
        </w:rPr>
        <w:t xml:space="preserve">Noch vor dem Termin erweitert K seine Klage dahingehend, dass er von </w:t>
      </w:r>
      <w:proofErr w:type="spellStart"/>
      <w:r w:rsidRPr="008536A3">
        <w:rPr>
          <w:rFonts w:ascii="Arial" w:hAnsi="Arial" w:cs="Arial"/>
        </w:rPr>
        <w:t>B1</w:t>
      </w:r>
      <w:proofErr w:type="spellEnd"/>
      <w:r w:rsidRPr="008536A3">
        <w:rPr>
          <w:rFonts w:ascii="Arial" w:hAnsi="Arial" w:cs="Arial"/>
        </w:rPr>
        <w:t xml:space="preserve"> und </w:t>
      </w:r>
      <w:proofErr w:type="spellStart"/>
      <w:r w:rsidRPr="008536A3">
        <w:rPr>
          <w:rFonts w:ascii="Arial" w:hAnsi="Arial" w:cs="Arial"/>
        </w:rPr>
        <w:t>B2</w:t>
      </w:r>
      <w:proofErr w:type="spellEnd"/>
      <w:r w:rsidRPr="008536A3">
        <w:rPr>
          <w:rFonts w:ascii="Arial" w:hAnsi="Arial" w:cs="Arial"/>
        </w:rPr>
        <w:t xml:space="preserve"> die Zahlung von weiteren 3.000,00 EUR begehrt. Der Kostenbeamte erfordert die offenen Gerichtskosten, welche von K gezahlt werden.</w:t>
      </w:r>
    </w:p>
    <w:p w14:paraId="44A6C188" w14:textId="77777777" w:rsidR="00E31F94" w:rsidRPr="008536A3" w:rsidRDefault="00E31F94" w:rsidP="00E31F94">
      <w:pPr>
        <w:pStyle w:val="Listenabsatz"/>
        <w:ind w:left="0"/>
        <w:jc w:val="both"/>
        <w:rPr>
          <w:rFonts w:ascii="Arial" w:hAnsi="Arial" w:cs="Arial"/>
        </w:rPr>
      </w:pPr>
    </w:p>
    <w:p w14:paraId="4C5B5AB8" w14:textId="77777777" w:rsidR="00E31F94" w:rsidRPr="008536A3" w:rsidRDefault="00E31F94" w:rsidP="00E31F94">
      <w:pPr>
        <w:pStyle w:val="Listenabsatz"/>
        <w:ind w:left="0"/>
        <w:jc w:val="both"/>
        <w:rPr>
          <w:rFonts w:ascii="Arial" w:hAnsi="Arial" w:cs="Arial"/>
        </w:rPr>
      </w:pPr>
      <w:r w:rsidRPr="008536A3">
        <w:rPr>
          <w:rFonts w:ascii="Arial" w:hAnsi="Arial" w:cs="Arial"/>
        </w:rPr>
        <w:t xml:space="preserve">In der mündlichen Verhandlung nimmt K seine Klageerweiterung vollumfänglich zurück. </w:t>
      </w:r>
      <w:r>
        <w:rPr>
          <w:rFonts w:ascii="Arial" w:hAnsi="Arial" w:cs="Arial"/>
        </w:rPr>
        <w:t xml:space="preserve">Der Beklagte stimmt der Klagerücknahme zu. </w:t>
      </w:r>
      <w:r w:rsidRPr="008536A3">
        <w:rPr>
          <w:rFonts w:ascii="Arial" w:hAnsi="Arial" w:cs="Arial"/>
        </w:rPr>
        <w:t>Das Gericht beraumt einen Termin zu Verkündung einer Entscheidung an. Sodann erkennen beide Beklagten den gegen sie mit der Klage geltend gemachten Anspruch vollständig an.</w:t>
      </w:r>
    </w:p>
    <w:p w14:paraId="67B4164A" w14:textId="77777777" w:rsidR="00E31F94" w:rsidRPr="008536A3" w:rsidRDefault="00E31F94" w:rsidP="00E31F94">
      <w:pPr>
        <w:pStyle w:val="Listenabsatz"/>
        <w:ind w:left="0"/>
        <w:jc w:val="both"/>
        <w:rPr>
          <w:rFonts w:ascii="Arial" w:hAnsi="Arial" w:cs="Arial"/>
        </w:rPr>
      </w:pPr>
    </w:p>
    <w:p w14:paraId="6AF1B773" w14:textId="3851705A" w:rsidR="00747FF1" w:rsidRDefault="00E31F94" w:rsidP="00E31F94">
      <w:pPr>
        <w:pStyle w:val="Listenabsatz"/>
        <w:ind w:left="0"/>
        <w:jc w:val="both"/>
        <w:rPr>
          <w:rFonts w:ascii="Arial" w:hAnsi="Arial" w:cs="Arial"/>
        </w:rPr>
      </w:pPr>
      <w:r w:rsidRPr="008536A3">
        <w:rPr>
          <w:rFonts w:ascii="Arial" w:hAnsi="Arial" w:cs="Arial"/>
        </w:rPr>
        <w:t xml:space="preserve">Auf Antrag des K ergeht gegen </w:t>
      </w:r>
      <w:proofErr w:type="spellStart"/>
      <w:r w:rsidRPr="008536A3">
        <w:rPr>
          <w:rFonts w:ascii="Arial" w:hAnsi="Arial" w:cs="Arial"/>
        </w:rPr>
        <w:t>B1</w:t>
      </w:r>
      <w:proofErr w:type="spellEnd"/>
      <w:r w:rsidRPr="008536A3">
        <w:rPr>
          <w:rFonts w:ascii="Arial" w:hAnsi="Arial" w:cs="Arial"/>
        </w:rPr>
        <w:t xml:space="preserve"> und </w:t>
      </w:r>
      <w:proofErr w:type="spellStart"/>
      <w:r w:rsidRPr="008536A3">
        <w:rPr>
          <w:rFonts w:ascii="Arial" w:hAnsi="Arial" w:cs="Arial"/>
        </w:rPr>
        <w:t>B2</w:t>
      </w:r>
      <w:proofErr w:type="spellEnd"/>
      <w:r w:rsidRPr="008536A3">
        <w:rPr>
          <w:rFonts w:ascii="Arial" w:hAnsi="Arial" w:cs="Arial"/>
        </w:rPr>
        <w:t xml:space="preserve"> Anerkenntnisurteil. Die Kosten des Verfahrens werden K zu 20% und </w:t>
      </w:r>
      <w:proofErr w:type="spellStart"/>
      <w:r w:rsidRPr="008536A3">
        <w:rPr>
          <w:rFonts w:ascii="Arial" w:hAnsi="Arial" w:cs="Arial"/>
        </w:rPr>
        <w:t>B1</w:t>
      </w:r>
      <w:proofErr w:type="spellEnd"/>
      <w:r w:rsidRPr="008536A3">
        <w:rPr>
          <w:rFonts w:ascii="Arial" w:hAnsi="Arial" w:cs="Arial"/>
        </w:rPr>
        <w:t xml:space="preserve"> und </w:t>
      </w:r>
      <w:proofErr w:type="spellStart"/>
      <w:r w:rsidRPr="008536A3">
        <w:rPr>
          <w:rFonts w:ascii="Arial" w:hAnsi="Arial" w:cs="Arial"/>
        </w:rPr>
        <w:t>B2</w:t>
      </w:r>
      <w:proofErr w:type="spellEnd"/>
      <w:r w:rsidRPr="008536A3">
        <w:rPr>
          <w:rFonts w:ascii="Arial" w:hAnsi="Arial" w:cs="Arial"/>
        </w:rPr>
        <w:t xml:space="preserve"> als Gesamtschuldner zu 80% auferlegt.</w:t>
      </w:r>
    </w:p>
    <w:p w14:paraId="4062F21F" w14:textId="77777777" w:rsidR="00E31F94" w:rsidRDefault="00E31F94" w:rsidP="00E31F94">
      <w:pPr>
        <w:pStyle w:val="Listenabsatz"/>
        <w:ind w:left="0"/>
        <w:jc w:val="both"/>
        <w:rPr>
          <w:rFonts w:ascii="Arial" w:hAnsi="Arial" w:cs="Arial"/>
        </w:rPr>
      </w:pPr>
    </w:p>
    <w:p w14:paraId="2E64015D" w14:textId="09F66C28" w:rsidR="00E31F94" w:rsidRDefault="00E31F94" w:rsidP="00E31F94">
      <w:pPr>
        <w:pStyle w:val="Listenabsatz"/>
        <w:ind w:left="0"/>
        <w:jc w:val="both"/>
        <w:rPr>
          <w:rFonts w:ascii="Arial" w:hAnsi="Arial" w:cs="Arial"/>
        </w:rPr>
      </w:pPr>
      <w:r w:rsidRPr="00E31F94">
        <w:rPr>
          <w:rFonts w:ascii="Arial" w:hAnsi="Arial" w:cs="Arial"/>
          <w:b/>
          <w:bCs/>
          <w:u w:val="single"/>
        </w:rPr>
        <w:t>Lösungsvorschlag</w:t>
      </w:r>
      <w:r>
        <w:rPr>
          <w:rFonts w:ascii="Arial" w:hAnsi="Arial" w:cs="Arial"/>
        </w:rPr>
        <w:t>:</w:t>
      </w:r>
    </w:p>
    <w:p w14:paraId="0DF5D7D2" w14:textId="77777777" w:rsidR="00E31F94" w:rsidRDefault="00E31F94" w:rsidP="00E31F94">
      <w:pPr>
        <w:pStyle w:val="Listenabsatz"/>
        <w:ind w:left="0"/>
        <w:jc w:val="both"/>
        <w:rPr>
          <w:rFonts w:ascii="Arial" w:hAnsi="Arial" w:cs="Arial"/>
        </w:rPr>
      </w:pPr>
    </w:p>
    <w:p w14:paraId="72888F41" w14:textId="77777777" w:rsidR="00E31F94" w:rsidRDefault="00E31F94" w:rsidP="00E31F94">
      <w:pPr>
        <w:spacing w:after="0" w:line="240" w:lineRule="auto"/>
        <w:jc w:val="both"/>
        <w:rPr>
          <w:rFonts w:ascii="Arial" w:hAnsi="Arial" w:cs="Arial"/>
        </w:rPr>
      </w:pPr>
      <w:r w:rsidRPr="00E31F94">
        <w:rPr>
          <w:rFonts w:ascii="Arial" w:hAnsi="Arial" w:cs="Arial"/>
          <w:u w:val="single"/>
        </w:rPr>
        <w:t>Ermäßigung</w:t>
      </w:r>
      <w:r>
        <w:rPr>
          <w:rFonts w:ascii="Arial" w:hAnsi="Arial" w:cs="Arial"/>
        </w:rPr>
        <w:t xml:space="preserve">: </w:t>
      </w:r>
      <w:bookmarkStart w:id="0" w:name="_Hlk198284509"/>
    </w:p>
    <w:p w14:paraId="38CADD2C" w14:textId="08F678E5" w:rsidR="00E31F94" w:rsidRDefault="00E31F94" w:rsidP="00E31F94">
      <w:pPr>
        <w:spacing w:after="0" w:line="240" w:lineRule="auto"/>
        <w:jc w:val="both"/>
        <w:rPr>
          <w:rFonts w:ascii="Arial" w:hAnsi="Arial" w:cs="Arial"/>
        </w:rPr>
      </w:pPr>
      <w:r>
        <w:rPr>
          <w:rFonts w:ascii="Arial" w:hAnsi="Arial" w:cs="Arial"/>
        </w:rPr>
        <w:t xml:space="preserve">Das Verfahren wurde vollständig durch anteilige Klagerücknahme und Anerkenntnisurteil gegen die Beklagten beendet. Eine Ermäßigung nach Nr. 1211 KV GKG tritt dann ein, wenn </w:t>
      </w:r>
      <w:r w:rsidRPr="00E31F94">
        <w:rPr>
          <w:rFonts w:ascii="Arial" w:hAnsi="Arial" w:cs="Arial"/>
          <w:b/>
          <w:bCs/>
        </w:rPr>
        <w:t>beide Beendigungstatbestände einen Ermäßigungstatbestand</w:t>
      </w:r>
      <w:r>
        <w:rPr>
          <w:rFonts w:ascii="Arial" w:hAnsi="Arial" w:cs="Arial"/>
        </w:rPr>
        <w:t xml:space="preserve"> darstellen und somit isoliert betrachtet zu einer Ermäßigung geführt hätten (vgl. letzter Satz zu Nr. 1211 KV GKG).</w:t>
      </w:r>
    </w:p>
    <w:bookmarkEnd w:id="0"/>
    <w:p w14:paraId="5993A70B" w14:textId="77777777" w:rsidR="00E31F94" w:rsidRDefault="00E31F94" w:rsidP="00E31F94">
      <w:pPr>
        <w:spacing w:after="0" w:line="240" w:lineRule="auto"/>
        <w:jc w:val="both"/>
        <w:rPr>
          <w:rFonts w:ascii="Arial" w:hAnsi="Arial" w:cs="Arial"/>
        </w:rPr>
      </w:pPr>
    </w:p>
    <w:p w14:paraId="107C2478" w14:textId="77777777" w:rsidR="00E31F94" w:rsidRDefault="00E31F94" w:rsidP="00E31F94">
      <w:pPr>
        <w:spacing w:after="0" w:line="240" w:lineRule="auto"/>
        <w:jc w:val="both"/>
        <w:rPr>
          <w:rFonts w:ascii="Arial" w:hAnsi="Arial" w:cs="Arial"/>
        </w:rPr>
      </w:pPr>
      <w:bookmarkStart w:id="1" w:name="_Hlk198284562"/>
      <w:r>
        <w:rPr>
          <w:rFonts w:ascii="Arial" w:hAnsi="Arial" w:cs="Arial"/>
        </w:rPr>
        <w:t>Die (anteilige) Klagerücknahme ist sowohl wirksam (vgl. § 269 Abs. 1, 2) als auch rechtzeitig (vor Schluss der mündlichen Verhandlung) erklärt worden und stellt daher einen Ermäßigungstatbestand nach Nr. 1211 Nr. 1 a) KV GKG dar. Das (anteilige) Anerkenntnisurteil der Beklagten ist Ermäßigungstatbestand nach Nr. 1211 Nr. 2 KV GKG.</w:t>
      </w:r>
    </w:p>
    <w:bookmarkEnd w:id="1"/>
    <w:p w14:paraId="5837F34F" w14:textId="7F7C790C" w:rsidR="00E31F94" w:rsidRDefault="00E31F94" w:rsidP="00E31F94">
      <w:pPr>
        <w:spacing w:after="0" w:line="240" w:lineRule="auto"/>
        <w:jc w:val="both"/>
        <w:rPr>
          <w:rFonts w:ascii="Arial" w:hAnsi="Arial" w:cs="Arial"/>
        </w:rPr>
      </w:pPr>
    </w:p>
    <w:p w14:paraId="793B0430" w14:textId="77777777" w:rsidR="00E31F94" w:rsidRDefault="00E31F94" w:rsidP="00E31F94">
      <w:pPr>
        <w:pStyle w:val="Listenabsatz"/>
        <w:ind w:left="0"/>
        <w:jc w:val="both"/>
        <w:rPr>
          <w:rFonts w:ascii="Arial" w:hAnsi="Arial" w:cs="Arial"/>
        </w:rPr>
      </w:pPr>
      <w:r>
        <w:rPr>
          <w:rFonts w:ascii="Arial" w:hAnsi="Arial" w:cs="Arial"/>
        </w:rPr>
        <w:t>Es ist auch kein anderes als in Nr. 1211 Nr. 2 KV GKG genanntes Urteil vorausgegangen.</w:t>
      </w:r>
    </w:p>
    <w:p w14:paraId="681CA08B" w14:textId="77777777" w:rsidR="00E31F94" w:rsidRDefault="00E31F94" w:rsidP="00E31F94">
      <w:pPr>
        <w:spacing w:after="0" w:line="240" w:lineRule="auto"/>
        <w:jc w:val="both"/>
        <w:rPr>
          <w:rFonts w:ascii="Arial" w:hAnsi="Arial" w:cs="Arial"/>
        </w:rPr>
      </w:pPr>
      <w:bookmarkStart w:id="2" w:name="_Hlk198284611"/>
      <w:r>
        <w:rPr>
          <w:rFonts w:ascii="Arial" w:hAnsi="Arial" w:cs="Arial"/>
        </w:rPr>
        <w:t>Die Verfahrensgebühr ermäßigt sich somit nach Nr. 1211 Nr. 1 a) und Nr. 2 KV GKG auf eine einfache Gebühr.</w:t>
      </w:r>
    </w:p>
    <w:bookmarkEnd w:id="2"/>
    <w:p w14:paraId="104C0D03" w14:textId="2D47DF1F" w:rsidR="00E31F94" w:rsidRDefault="00E31F94" w:rsidP="00E31F94">
      <w:pPr>
        <w:pStyle w:val="Listenabsatz"/>
        <w:ind w:left="0"/>
        <w:jc w:val="both"/>
        <w:rPr>
          <w:rFonts w:ascii="Arial" w:hAnsi="Arial" w:cs="Arial"/>
        </w:rPr>
      </w:pPr>
    </w:p>
    <w:p w14:paraId="3E1AC3C8" w14:textId="77777777" w:rsidR="00E31F94" w:rsidRDefault="00E31F94" w:rsidP="00E31F94">
      <w:pPr>
        <w:pStyle w:val="Listenabsatz"/>
        <w:ind w:left="0"/>
        <w:jc w:val="both"/>
        <w:rPr>
          <w:rFonts w:ascii="Arial" w:hAnsi="Arial" w:cs="Arial"/>
        </w:rPr>
      </w:pPr>
      <w:r w:rsidRPr="00E31F94">
        <w:rPr>
          <w:rFonts w:ascii="Arial" w:hAnsi="Arial" w:cs="Arial"/>
          <w:u w:val="single"/>
        </w:rPr>
        <w:t>Streitwert</w:t>
      </w:r>
      <w:r>
        <w:rPr>
          <w:rFonts w:ascii="Arial" w:hAnsi="Arial" w:cs="Arial"/>
        </w:rPr>
        <w:t xml:space="preserve">: </w:t>
      </w:r>
    </w:p>
    <w:p w14:paraId="11AB78EF" w14:textId="7BEC94F0" w:rsidR="00E31F94" w:rsidRDefault="00E31F94" w:rsidP="00E31F94">
      <w:pPr>
        <w:pStyle w:val="Listenabsatz"/>
        <w:ind w:left="0"/>
        <w:jc w:val="both"/>
        <w:rPr>
          <w:rFonts w:ascii="Arial" w:hAnsi="Arial" w:cs="Arial"/>
        </w:rPr>
      </w:pPr>
      <w:r>
        <w:rPr>
          <w:rFonts w:ascii="Arial" w:hAnsi="Arial" w:cs="Arial"/>
        </w:rPr>
        <w:t>13.002,00 EUR gem. §§ 48 Abs. 1 S. 1 GKG i.V.m 3 ff. ZPO</w:t>
      </w:r>
    </w:p>
    <w:p w14:paraId="49C0275E" w14:textId="163048DC" w:rsidR="00E31F94" w:rsidRDefault="00E31F94" w:rsidP="00E31F94">
      <w:pPr>
        <w:pStyle w:val="Listenabsatz"/>
        <w:ind w:left="0"/>
        <w:jc w:val="both"/>
        <w:rPr>
          <w:rFonts w:ascii="Arial" w:hAnsi="Arial" w:cs="Arial"/>
        </w:rPr>
      </w:pPr>
      <w:r>
        <w:rPr>
          <w:rFonts w:ascii="Arial" w:hAnsi="Arial" w:cs="Arial"/>
        </w:rPr>
        <w:t>3.000,00 EUR sind gem. § 39 Abs. 1 GKG hinzuzuaddieren</w:t>
      </w:r>
    </w:p>
    <w:p w14:paraId="4F496275" w14:textId="77777777" w:rsidR="00E31F94" w:rsidRDefault="00E31F94" w:rsidP="00E31F94">
      <w:pPr>
        <w:pStyle w:val="Listenabsatz"/>
        <w:ind w:left="0"/>
        <w:jc w:val="both"/>
        <w:rPr>
          <w:rFonts w:ascii="Arial" w:hAnsi="Arial" w:cs="Arial"/>
        </w:rPr>
      </w:pPr>
    </w:p>
    <w:p w14:paraId="0D42296B" w14:textId="359925BC" w:rsidR="00E31F94" w:rsidRDefault="00E31F94" w:rsidP="00E31F94">
      <w:pPr>
        <w:pStyle w:val="Listenabsatz"/>
        <w:ind w:left="0"/>
        <w:jc w:val="both"/>
        <w:rPr>
          <w:rFonts w:ascii="Arial" w:hAnsi="Arial" w:cs="Arial"/>
        </w:rPr>
      </w:pPr>
      <w:r>
        <w:rPr>
          <w:rFonts w:ascii="Arial" w:hAnsi="Arial" w:cs="Arial"/>
        </w:rPr>
        <w:t>Streitwert gesamt: 16.002,00 EUR</w:t>
      </w:r>
    </w:p>
    <w:p w14:paraId="08B22745" w14:textId="77777777" w:rsidR="00E31F94" w:rsidRDefault="00E31F94" w:rsidP="00E31F94">
      <w:pPr>
        <w:pStyle w:val="Listenabsatz"/>
        <w:ind w:left="0"/>
        <w:jc w:val="both"/>
        <w:rPr>
          <w:rFonts w:ascii="Arial" w:hAnsi="Arial" w:cs="Arial"/>
        </w:rPr>
      </w:pPr>
    </w:p>
    <w:p w14:paraId="2D7AD08D" w14:textId="17D02EB7" w:rsidR="00E31F94" w:rsidRDefault="00E31F94" w:rsidP="00E31F94">
      <w:pPr>
        <w:pStyle w:val="Listenabsatz"/>
        <w:ind w:left="0"/>
        <w:jc w:val="both"/>
        <w:rPr>
          <w:rFonts w:ascii="Arial" w:hAnsi="Arial" w:cs="Arial"/>
        </w:rPr>
      </w:pPr>
      <w:r w:rsidRPr="00E31F94">
        <w:rPr>
          <w:rFonts w:ascii="Arial" w:hAnsi="Arial" w:cs="Arial"/>
          <w:b/>
          <w:bCs/>
        </w:rPr>
        <w:t>Wichtig</w:t>
      </w:r>
      <w:r>
        <w:rPr>
          <w:rFonts w:ascii="Arial" w:hAnsi="Arial" w:cs="Arial"/>
        </w:rPr>
        <w:t>: Eine anteilige Klagerücknahme führt nicht automatisch zur Verminderung des Streitwertes!</w:t>
      </w:r>
    </w:p>
    <w:p w14:paraId="268C09DD" w14:textId="77777777" w:rsidR="00E31F94" w:rsidRDefault="00E31F94" w:rsidP="00E31F94">
      <w:pPr>
        <w:pStyle w:val="Listenabsatz"/>
        <w:ind w:left="0"/>
        <w:jc w:val="both"/>
        <w:rPr>
          <w:rFonts w:ascii="Arial" w:hAnsi="Arial" w:cs="Arial"/>
        </w:rPr>
      </w:pPr>
    </w:p>
    <w:p w14:paraId="1358C752" w14:textId="77777777" w:rsidR="00E31F94" w:rsidRDefault="00E31F94" w:rsidP="00E31F94">
      <w:pPr>
        <w:pStyle w:val="Listenabsatz"/>
        <w:ind w:left="0"/>
        <w:jc w:val="both"/>
        <w:rPr>
          <w:rFonts w:ascii="Arial" w:hAnsi="Arial" w:cs="Arial"/>
        </w:rPr>
      </w:pPr>
    </w:p>
    <w:p w14:paraId="729DCC19" w14:textId="77777777" w:rsidR="00E31F94" w:rsidRDefault="00E31F94" w:rsidP="00E31F94">
      <w:pPr>
        <w:pStyle w:val="Listenabsatz"/>
        <w:ind w:left="0"/>
        <w:jc w:val="both"/>
        <w:rPr>
          <w:rFonts w:ascii="Arial" w:hAnsi="Arial" w:cs="Arial"/>
        </w:rPr>
      </w:pPr>
    </w:p>
    <w:p w14:paraId="1B988D68" w14:textId="77777777" w:rsidR="00E31F94" w:rsidRDefault="00E31F94" w:rsidP="00E31F94">
      <w:pPr>
        <w:pStyle w:val="Listenabsatz"/>
        <w:ind w:left="0"/>
        <w:jc w:val="both"/>
        <w:rPr>
          <w:rFonts w:ascii="Arial" w:hAnsi="Arial" w:cs="Arial"/>
        </w:rPr>
      </w:pPr>
    </w:p>
    <w:p w14:paraId="28E163CF" w14:textId="77777777" w:rsidR="00E31F94" w:rsidRDefault="00E31F94" w:rsidP="00E31F94">
      <w:pPr>
        <w:pStyle w:val="Listenabsatz"/>
        <w:ind w:left="0"/>
        <w:jc w:val="both"/>
        <w:rPr>
          <w:rFonts w:ascii="Arial" w:hAnsi="Arial" w:cs="Arial"/>
        </w:rPr>
      </w:pPr>
    </w:p>
    <w:p w14:paraId="4FE20BDF" w14:textId="77777777" w:rsidR="00E31F94" w:rsidRDefault="00E31F94" w:rsidP="00E31F94">
      <w:pPr>
        <w:rPr>
          <w:rFonts w:ascii="Arial" w:hAnsi="Arial" w:cs="Arial"/>
        </w:rPr>
      </w:pPr>
    </w:p>
    <w:p w14:paraId="01AAC489" w14:textId="77777777" w:rsidR="00E31F94" w:rsidRDefault="00E31F94" w:rsidP="00E31F94">
      <w:pPr>
        <w:rPr>
          <w:rFonts w:ascii="Arial" w:hAnsi="Arial" w:cs="Arial"/>
        </w:rPr>
      </w:pPr>
    </w:p>
    <w:tbl>
      <w:tblPr>
        <w:tblStyle w:val="Tabellenraster"/>
        <w:tblW w:w="0" w:type="auto"/>
        <w:tblLook w:val="04A0" w:firstRow="1" w:lastRow="0" w:firstColumn="1" w:lastColumn="0" w:noHBand="0" w:noVBand="1"/>
      </w:tblPr>
      <w:tblGrid>
        <w:gridCol w:w="2344"/>
        <w:gridCol w:w="886"/>
        <w:gridCol w:w="1209"/>
        <w:gridCol w:w="1055"/>
        <w:gridCol w:w="1164"/>
        <w:gridCol w:w="1275"/>
        <w:gridCol w:w="1129"/>
      </w:tblGrid>
      <w:tr w:rsidR="00E31F94" w14:paraId="5F329703" w14:textId="77777777" w:rsidTr="005E617A">
        <w:tc>
          <w:tcPr>
            <w:tcW w:w="2344" w:type="dxa"/>
            <w:vMerge w:val="restart"/>
          </w:tcPr>
          <w:p w14:paraId="2DEE5AC8" w14:textId="77777777" w:rsidR="00E31F94" w:rsidRDefault="00E31F94" w:rsidP="005E617A">
            <w:pPr>
              <w:rPr>
                <w:rFonts w:ascii="Arial" w:hAnsi="Arial" w:cs="Arial"/>
                <w:b/>
              </w:rPr>
            </w:pPr>
            <w:bookmarkStart w:id="3" w:name="_Hlk198284858"/>
            <w:r>
              <w:rPr>
                <w:rFonts w:ascii="Arial" w:hAnsi="Arial" w:cs="Arial"/>
                <w:b/>
              </w:rPr>
              <w:lastRenderedPageBreak/>
              <w:t>Tatbestand</w:t>
            </w:r>
          </w:p>
        </w:tc>
        <w:tc>
          <w:tcPr>
            <w:tcW w:w="886" w:type="dxa"/>
            <w:vMerge w:val="restart"/>
          </w:tcPr>
          <w:p w14:paraId="2C1D6C4C" w14:textId="77777777" w:rsidR="00E31F94" w:rsidRDefault="00E31F94" w:rsidP="005E617A">
            <w:pPr>
              <w:rPr>
                <w:rFonts w:ascii="Arial" w:hAnsi="Arial" w:cs="Arial"/>
                <w:b/>
              </w:rPr>
            </w:pPr>
            <w:r>
              <w:rPr>
                <w:rFonts w:ascii="Arial" w:hAnsi="Arial" w:cs="Arial"/>
                <w:b/>
              </w:rPr>
              <w:t>KV-Nr.:</w:t>
            </w:r>
          </w:p>
        </w:tc>
        <w:tc>
          <w:tcPr>
            <w:tcW w:w="1209" w:type="dxa"/>
            <w:vMerge w:val="restart"/>
          </w:tcPr>
          <w:p w14:paraId="7FD05794" w14:textId="77777777" w:rsidR="00E31F94" w:rsidRDefault="00E31F94" w:rsidP="005E617A">
            <w:pPr>
              <w:rPr>
                <w:rFonts w:ascii="Arial" w:hAnsi="Arial" w:cs="Arial"/>
                <w:b/>
              </w:rPr>
            </w:pPr>
            <w:r>
              <w:rPr>
                <w:rFonts w:ascii="Arial" w:hAnsi="Arial" w:cs="Arial"/>
                <w:b/>
              </w:rPr>
              <w:t>Wert (EUR)</w:t>
            </w:r>
          </w:p>
        </w:tc>
        <w:tc>
          <w:tcPr>
            <w:tcW w:w="1055" w:type="dxa"/>
            <w:vMerge w:val="restart"/>
          </w:tcPr>
          <w:p w14:paraId="76BCBCE7" w14:textId="77777777" w:rsidR="00E31F94" w:rsidRDefault="00E31F94" w:rsidP="005E617A">
            <w:pPr>
              <w:rPr>
                <w:rFonts w:ascii="Arial" w:hAnsi="Arial" w:cs="Arial"/>
                <w:b/>
              </w:rPr>
            </w:pPr>
            <w:r>
              <w:rPr>
                <w:rFonts w:ascii="Arial" w:hAnsi="Arial" w:cs="Arial"/>
                <w:b/>
              </w:rPr>
              <w:t>Betrag (EUR):</w:t>
            </w:r>
          </w:p>
        </w:tc>
        <w:tc>
          <w:tcPr>
            <w:tcW w:w="3568" w:type="dxa"/>
            <w:gridSpan w:val="3"/>
          </w:tcPr>
          <w:p w14:paraId="41A7D8BD" w14:textId="77777777" w:rsidR="00E31F94" w:rsidRDefault="00E31F94" w:rsidP="005E617A">
            <w:pPr>
              <w:jc w:val="center"/>
              <w:rPr>
                <w:rFonts w:ascii="Arial" w:hAnsi="Arial" w:cs="Arial"/>
                <w:b/>
              </w:rPr>
            </w:pPr>
            <w:r>
              <w:rPr>
                <w:rFonts w:ascii="Arial" w:hAnsi="Arial" w:cs="Arial"/>
                <w:b/>
              </w:rPr>
              <w:t>Maximale Mithaft (EUR):</w:t>
            </w:r>
          </w:p>
        </w:tc>
      </w:tr>
      <w:tr w:rsidR="00E31F94" w14:paraId="16DEA551" w14:textId="77777777" w:rsidTr="005E617A">
        <w:tc>
          <w:tcPr>
            <w:tcW w:w="2344" w:type="dxa"/>
            <w:vMerge/>
            <w:tcBorders>
              <w:bottom w:val="single" w:sz="4" w:space="0" w:color="auto"/>
            </w:tcBorders>
          </w:tcPr>
          <w:p w14:paraId="32D82B74" w14:textId="77777777" w:rsidR="00E31F94" w:rsidRDefault="00E31F94" w:rsidP="005E617A">
            <w:pPr>
              <w:rPr>
                <w:rFonts w:ascii="Arial" w:hAnsi="Arial" w:cs="Arial"/>
                <w:b/>
              </w:rPr>
            </w:pPr>
          </w:p>
        </w:tc>
        <w:tc>
          <w:tcPr>
            <w:tcW w:w="886" w:type="dxa"/>
            <w:vMerge/>
            <w:tcBorders>
              <w:bottom w:val="single" w:sz="4" w:space="0" w:color="auto"/>
            </w:tcBorders>
          </w:tcPr>
          <w:p w14:paraId="2A07C10E" w14:textId="77777777" w:rsidR="00E31F94" w:rsidRDefault="00E31F94" w:rsidP="005E617A">
            <w:pPr>
              <w:rPr>
                <w:rFonts w:ascii="Arial" w:hAnsi="Arial" w:cs="Arial"/>
                <w:b/>
              </w:rPr>
            </w:pPr>
          </w:p>
        </w:tc>
        <w:tc>
          <w:tcPr>
            <w:tcW w:w="1209" w:type="dxa"/>
            <w:vMerge/>
            <w:tcBorders>
              <w:bottom w:val="single" w:sz="4" w:space="0" w:color="auto"/>
            </w:tcBorders>
          </w:tcPr>
          <w:p w14:paraId="06860D9B" w14:textId="77777777" w:rsidR="00E31F94" w:rsidRDefault="00E31F94" w:rsidP="005E617A">
            <w:pPr>
              <w:rPr>
                <w:rFonts w:ascii="Arial" w:hAnsi="Arial" w:cs="Arial"/>
                <w:b/>
              </w:rPr>
            </w:pPr>
          </w:p>
        </w:tc>
        <w:tc>
          <w:tcPr>
            <w:tcW w:w="1055" w:type="dxa"/>
            <w:vMerge/>
            <w:tcBorders>
              <w:bottom w:val="single" w:sz="4" w:space="0" w:color="auto"/>
            </w:tcBorders>
          </w:tcPr>
          <w:p w14:paraId="5FC4ACC7" w14:textId="77777777" w:rsidR="00E31F94" w:rsidRDefault="00E31F94" w:rsidP="005E617A">
            <w:pPr>
              <w:rPr>
                <w:rFonts w:ascii="Arial" w:hAnsi="Arial" w:cs="Arial"/>
                <w:b/>
              </w:rPr>
            </w:pPr>
          </w:p>
        </w:tc>
        <w:tc>
          <w:tcPr>
            <w:tcW w:w="1164" w:type="dxa"/>
            <w:tcBorders>
              <w:bottom w:val="single" w:sz="4" w:space="0" w:color="auto"/>
            </w:tcBorders>
          </w:tcPr>
          <w:p w14:paraId="17253459" w14:textId="77777777" w:rsidR="00E31F94" w:rsidRDefault="00E31F94" w:rsidP="005E617A">
            <w:pPr>
              <w:rPr>
                <w:rFonts w:ascii="Arial" w:hAnsi="Arial" w:cs="Arial"/>
                <w:b/>
              </w:rPr>
            </w:pPr>
            <w:r>
              <w:rPr>
                <w:rFonts w:ascii="Arial" w:hAnsi="Arial" w:cs="Arial"/>
                <w:b/>
              </w:rPr>
              <w:t>K</w:t>
            </w:r>
          </w:p>
        </w:tc>
        <w:tc>
          <w:tcPr>
            <w:tcW w:w="1275" w:type="dxa"/>
            <w:tcBorders>
              <w:bottom w:val="single" w:sz="4" w:space="0" w:color="auto"/>
            </w:tcBorders>
          </w:tcPr>
          <w:p w14:paraId="0955FCF2" w14:textId="77777777" w:rsidR="00E31F94" w:rsidRDefault="00E31F94" w:rsidP="005E617A">
            <w:pPr>
              <w:rPr>
                <w:rFonts w:ascii="Arial" w:hAnsi="Arial" w:cs="Arial"/>
                <w:b/>
              </w:rPr>
            </w:pPr>
            <w:r>
              <w:rPr>
                <w:rFonts w:ascii="Arial" w:hAnsi="Arial" w:cs="Arial"/>
                <w:b/>
              </w:rPr>
              <w:t>B 1</w:t>
            </w:r>
          </w:p>
        </w:tc>
        <w:tc>
          <w:tcPr>
            <w:tcW w:w="1129" w:type="dxa"/>
            <w:tcBorders>
              <w:bottom w:val="single" w:sz="4" w:space="0" w:color="auto"/>
            </w:tcBorders>
          </w:tcPr>
          <w:p w14:paraId="42D595BF" w14:textId="77777777" w:rsidR="00E31F94" w:rsidRDefault="00E31F94" w:rsidP="005E617A">
            <w:pPr>
              <w:rPr>
                <w:rFonts w:ascii="Arial" w:hAnsi="Arial" w:cs="Arial"/>
                <w:b/>
              </w:rPr>
            </w:pPr>
            <w:r>
              <w:rPr>
                <w:rFonts w:ascii="Arial" w:hAnsi="Arial" w:cs="Arial"/>
                <w:b/>
              </w:rPr>
              <w:t>B 2</w:t>
            </w:r>
          </w:p>
        </w:tc>
      </w:tr>
      <w:tr w:rsidR="00E31F94" w:rsidRPr="0074299E" w14:paraId="0A3EB4A4" w14:textId="77777777" w:rsidTr="005E617A">
        <w:tc>
          <w:tcPr>
            <w:tcW w:w="2344" w:type="dxa"/>
            <w:tcBorders>
              <w:bottom w:val="single" w:sz="4" w:space="0" w:color="auto"/>
            </w:tcBorders>
          </w:tcPr>
          <w:p w14:paraId="7678E199" w14:textId="77777777" w:rsidR="00E31F94" w:rsidRDefault="00E31F94" w:rsidP="005E617A">
            <w:pPr>
              <w:rPr>
                <w:rFonts w:ascii="Arial" w:hAnsi="Arial" w:cs="Arial"/>
              </w:rPr>
            </w:pPr>
            <w:r>
              <w:rPr>
                <w:rFonts w:ascii="Arial" w:hAnsi="Arial" w:cs="Arial"/>
              </w:rPr>
              <w:t>Verfahren im Allgemeinen</w:t>
            </w:r>
          </w:p>
          <w:p w14:paraId="1673AE3C" w14:textId="77777777" w:rsidR="00E31F94" w:rsidRPr="0074299E" w:rsidRDefault="00E31F94" w:rsidP="005E617A">
            <w:pPr>
              <w:rPr>
                <w:rFonts w:ascii="Arial" w:hAnsi="Arial" w:cs="Arial"/>
              </w:rPr>
            </w:pPr>
            <w:r>
              <w:rPr>
                <w:rFonts w:ascii="Arial" w:hAnsi="Arial" w:cs="Arial"/>
              </w:rPr>
              <w:t>(ermäßigt)</w:t>
            </w:r>
          </w:p>
        </w:tc>
        <w:tc>
          <w:tcPr>
            <w:tcW w:w="886" w:type="dxa"/>
            <w:tcBorders>
              <w:bottom w:val="single" w:sz="4" w:space="0" w:color="auto"/>
            </w:tcBorders>
          </w:tcPr>
          <w:p w14:paraId="6EEFECD1" w14:textId="77777777" w:rsidR="00E31F94" w:rsidRPr="0074299E" w:rsidRDefault="00E31F94" w:rsidP="005E617A">
            <w:pPr>
              <w:rPr>
                <w:rFonts w:ascii="Arial" w:hAnsi="Arial" w:cs="Arial"/>
              </w:rPr>
            </w:pPr>
            <w:r>
              <w:rPr>
                <w:rFonts w:ascii="Arial" w:hAnsi="Arial" w:cs="Arial"/>
              </w:rPr>
              <w:t>1210, 1211</w:t>
            </w:r>
          </w:p>
        </w:tc>
        <w:tc>
          <w:tcPr>
            <w:tcW w:w="1209" w:type="dxa"/>
            <w:tcBorders>
              <w:bottom w:val="single" w:sz="4" w:space="0" w:color="auto"/>
            </w:tcBorders>
          </w:tcPr>
          <w:p w14:paraId="055CF089" w14:textId="77777777" w:rsidR="00E31F94" w:rsidRPr="0074299E" w:rsidRDefault="00E31F94" w:rsidP="005E617A">
            <w:pPr>
              <w:rPr>
                <w:rFonts w:ascii="Arial" w:hAnsi="Arial" w:cs="Arial"/>
              </w:rPr>
            </w:pPr>
            <w:r>
              <w:rPr>
                <w:rFonts w:ascii="Arial" w:hAnsi="Arial" w:cs="Arial"/>
              </w:rPr>
              <w:t>16.002</w:t>
            </w:r>
          </w:p>
        </w:tc>
        <w:tc>
          <w:tcPr>
            <w:tcW w:w="1055" w:type="dxa"/>
            <w:tcBorders>
              <w:bottom w:val="single" w:sz="4" w:space="0" w:color="auto"/>
            </w:tcBorders>
          </w:tcPr>
          <w:p w14:paraId="59846CBE" w14:textId="77777777" w:rsidR="00E31F94" w:rsidRPr="0074299E" w:rsidRDefault="00E31F94" w:rsidP="005E617A">
            <w:pPr>
              <w:rPr>
                <w:rFonts w:ascii="Arial" w:hAnsi="Arial" w:cs="Arial"/>
              </w:rPr>
            </w:pPr>
            <w:r>
              <w:rPr>
                <w:rFonts w:ascii="Arial" w:hAnsi="Arial" w:cs="Arial"/>
              </w:rPr>
              <w:t>374,50</w:t>
            </w:r>
          </w:p>
        </w:tc>
        <w:tc>
          <w:tcPr>
            <w:tcW w:w="1164" w:type="dxa"/>
            <w:tcBorders>
              <w:bottom w:val="single" w:sz="4" w:space="0" w:color="auto"/>
            </w:tcBorders>
          </w:tcPr>
          <w:p w14:paraId="484C9EF9" w14:textId="77777777" w:rsidR="00E31F94" w:rsidRDefault="00E31F94" w:rsidP="005E617A">
            <w:pPr>
              <w:rPr>
                <w:rFonts w:ascii="Arial" w:hAnsi="Arial" w:cs="Arial"/>
              </w:rPr>
            </w:pPr>
            <w:r>
              <w:rPr>
                <w:rFonts w:ascii="Arial" w:hAnsi="Arial" w:cs="Arial"/>
              </w:rPr>
              <w:t>374,50</w:t>
            </w:r>
          </w:p>
          <w:p w14:paraId="3E7B8A27" w14:textId="77777777" w:rsidR="00E31F94" w:rsidRPr="00527995" w:rsidRDefault="00E31F94" w:rsidP="005E617A">
            <w:pPr>
              <w:rPr>
                <w:rFonts w:ascii="Arial" w:hAnsi="Arial" w:cs="Arial"/>
                <w:sz w:val="18"/>
                <w:szCs w:val="18"/>
              </w:rPr>
            </w:pPr>
            <w:r w:rsidRPr="00527995">
              <w:rPr>
                <w:rFonts w:ascii="Arial" w:hAnsi="Arial" w:cs="Arial"/>
                <w:sz w:val="18"/>
                <w:szCs w:val="18"/>
              </w:rPr>
              <w:t>(§ 22 I)</w:t>
            </w:r>
          </w:p>
          <w:p w14:paraId="246FCFE3" w14:textId="77777777" w:rsidR="00E31F94" w:rsidRPr="0074299E" w:rsidRDefault="00E31F94" w:rsidP="005E617A">
            <w:pPr>
              <w:rPr>
                <w:rFonts w:ascii="Arial" w:hAnsi="Arial" w:cs="Arial"/>
              </w:rPr>
            </w:pPr>
          </w:p>
        </w:tc>
        <w:tc>
          <w:tcPr>
            <w:tcW w:w="1275" w:type="dxa"/>
            <w:tcBorders>
              <w:bottom w:val="single" w:sz="4" w:space="0" w:color="auto"/>
            </w:tcBorders>
          </w:tcPr>
          <w:p w14:paraId="70870982" w14:textId="77777777" w:rsidR="00E31F94" w:rsidRPr="0074299E" w:rsidRDefault="00E31F94" w:rsidP="005E617A">
            <w:pPr>
              <w:rPr>
                <w:rFonts w:ascii="Arial" w:hAnsi="Arial" w:cs="Arial"/>
              </w:rPr>
            </w:pPr>
          </w:p>
        </w:tc>
        <w:tc>
          <w:tcPr>
            <w:tcW w:w="1129" w:type="dxa"/>
            <w:tcBorders>
              <w:bottom w:val="single" w:sz="4" w:space="0" w:color="auto"/>
            </w:tcBorders>
          </w:tcPr>
          <w:p w14:paraId="0784BC76" w14:textId="77777777" w:rsidR="00E31F94" w:rsidRDefault="00E31F94" w:rsidP="005E617A">
            <w:pPr>
              <w:rPr>
                <w:rFonts w:ascii="Arial" w:hAnsi="Arial" w:cs="Arial"/>
              </w:rPr>
            </w:pPr>
          </w:p>
        </w:tc>
      </w:tr>
      <w:tr w:rsidR="00E31F94" w14:paraId="05A6F0A9" w14:textId="77777777" w:rsidTr="005E617A">
        <w:tc>
          <w:tcPr>
            <w:tcW w:w="2344" w:type="dxa"/>
            <w:tcBorders>
              <w:top w:val="single" w:sz="4" w:space="0" w:color="auto"/>
              <w:left w:val="nil"/>
              <w:bottom w:val="nil"/>
              <w:right w:val="nil"/>
            </w:tcBorders>
          </w:tcPr>
          <w:p w14:paraId="22A4ACC8" w14:textId="77777777" w:rsidR="00E31F94" w:rsidRPr="0074299E" w:rsidRDefault="00E31F94" w:rsidP="005E617A">
            <w:pPr>
              <w:rPr>
                <w:rFonts w:ascii="Arial" w:hAnsi="Arial" w:cs="Arial"/>
              </w:rPr>
            </w:pPr>
          </w:p>
        </w:tc>
        <w:tc>
          <w:tcPr>
            <w:tcW w:w="886" w:type="dxa"/>
            <w:tcBorders>
              <w:top w:val="single" w:sz="4" w:space="0" w:color="auto"/>
              <w:left w:val="nil"/>
              <w:bottom w:val="nil"/>
              <w:right w:val="nil"/>
            </w:tcBorders>
          </w:tcPr>
          <w:p w14:paraId="228526C9" w14:textId="77777777" w:rsidR="00E31F94" w:rsidRDefault="00E31F94" w:rsidP="005E617A">
            <w:pPr>
              <w:rPr>
                <w:rFonts w:ascii="Arial" w:hAnsi="Arial" w:cs="Arial"/>
                <w:b/>
              </w:rPr>
            </w:pPr>
          </w:p>
        </w:tc>
        <w:tc>
          <w:tcPr>
            <w:tcW w:w="1209" w:type="dxa"/>
            <w:tcBorders>
              <w:top w:val="single" w:sz="4" w:space="0" w:color="auto"/>
              <w:left w:val="nil"/>
              <w:bottom w:val="nil"/>
              <w:right w:val="nil"/>
            </w:tcBorders>
          </w:tcPr>
          <w:p w14:paraId="692DB459" w14:textId="77777777" w:rsidR="00E31F94" w:rsidRDefault="00E31F94" w:rsidP="005E617A">
            <w:pPr>
              <w:jc w:val="right"/>
              <w:rPr>
                <w:rFonts w:ascii="Arial" w:hAnsi="Arial" w:cs="Arial"/>
                <w:b/>
              </w:rPr>
            </w:pPr>
            <w:r>
              <w:rPr>
                <w:rFonts w:ascii="Arial" w:hAnsi="Arial" w:cs="Arial"/>
                <w:b/>
              </w:rPr>
              <w:t>Summe:</w:t>
            </w:r>
          </w:p>
        </w:tc>
        <w:tc>
          <w:tcPr>
            <w:tcW w:w="1055" w:type="dxa"/>
            <w:tcBorders>
              <w:top w:val="single" w:sz="4" w:space="0" w:color="auto"/>
              <w:left w:val="nil"/>
              <w:bottom w:val="nil"/>
              <w:right w:val="nil"/>
            </w:tcBorders>
          </w:tcPr>
          <w:p w14:paraId="196CB78A" w14:textId="77777777" w:rsidR="00E31F94" w:rsidRDefault="00E31F94" w:rsidP="005E617A">
            <w:pPr>
              <w:rPr>
                <w:rFonts w:ascii="Arial" w:hAnsi="Arial" w:cs="Arial"/>
                <w:b/>
              </w:rPr>
            </w:pPr>
            <w:r>
              <w:rPr>
                <w:rFonts w:ascii="Arial" w:hAnsi="Arial" w:cs="Arial"/>
                <w:b/>
              </w:rPr>
              <w:t>374,50</w:t>
            </w:r>
          </w:p>
        </w:tc>
        <w:tc>
          <w:tcPr>
            <w:tcW w:w="1164" w:type="dxa"/>
            <w:tcBorders>
              <w:top w:val="single" w:sz="4" w:space="0" w:color="auto"/>
              <w:left w:val="nil"/>
              <w:bottom w:val="nil"/>
              <w:right w:val="nil"/>
            </w:tcBorders>
          </w:tcPr>
          <w:p w14:paraId="7AC9F09C" w14:textId="77777777" w:rsidR="00E31F94" w:rsidRDefault="00E31F94" w:rsidP="005E617A">
            <w:pPr>
              <w:rPr>
                <w:rFonts w:ascii="Arial" w:hAnsi="Arial" w:cs="Arial"/>
                <w:b/>
              </w:rPr>
            </w:pPr>
            <w:r>
              <w:rPr>
                <w:rFonts w:ascii="Arial" w:hAnsi="Arial" w:cs="Arial"/>
                <w:b/>
              </w:rPr>
              <w:t>374,50</w:t>
            </w:r>
          </w:p>
        </w:tc>
        <w:tc>
          <w:tcPr>
            <w:tcW w:w="1275" w:type="dxa"/>
            <w:tcBorders>
              <w:top w:val="single" w:sz="4" w:space="0" w:color="auto"/>
              <w:left w:val="nil"/>
              <w:bottom w:val="nil"/>
              <w:right w:val="nil"/>
            </w:tcBorders>
          </w:tcPr>
          <w:p w14:paraId="30209BD1" w14:textId="77777777" w:rsidR="00E31F94" w:rsidRDefault="00E31F94" w:rsidP="005E617A">
            <w:pPr>
              <w:rPr>
                <w:rFonts w:ascii="Arial" w:hAnsi="Arial" w:cs="Arial"/>
                <w:b/>
              </w:rPr>
            </w:pPr>
          </w:p>
        </w:tc>
        <w:tc>
          <w:tcPr>
            <w:tcW w:w="1129" w:type="dxa"/>
            <w:tcBorders>
              <w:top w:val="single" w:sz="4" w:space="0" w:color="auto"/>
              <w:left w:val="nil"/>
              <w:bottom w:val="nil"/>
              <w:right w:val="nil"/>
            </w:tcBorders>
          </w:tcPr>
          <w:p w14:paraId="6E06603D" w14:textId="77777777" w:rsidR="00E31F94" w:rsidRDefault="00E31F94" w:rsidP="005E617A">
            <w:pPr>
              <w:rPr>
                <w:rFonts w:ascii="Arial" w:hAnsi="Arial" w:cs="Arial"/>
                <w:b/>
              </w:rPr>
            </w:pPr>
          </w:p>
        </w:tc>
      </w:tr>
      <w:bookmarkEnd w:id="3"/>
    </w:tbl>
    <w:p w14:paraId="2CB18286" w14:textId="77777777" w:rsidR="00E31F94" w:rsidRDefault="00E31F94" w:rsidP="00E31F94">
      <w:pPr>
        <w:pStyle w:val="Listenabsatz"/>
        <w:ind w:left="0"/>
        <w:jc w:val="both"/>
        <w:rPr>
          <w:rFonts w:ascii="Arial" w:hAnsi="Arial" w:cs="Arial"/>
        </w:rPr>
      </w:pPr>
    </w:p>
    <w:p w14:paraId="1991CF2E" w14:textId="15A4F422" w:rsidR="00E31F94" w:rsidRPr="006C0930" w:rsidRDefault="00E31F94" w:rsidP="00E31F94">
      <w:pPr>
        <w:pStyle w:val="Listenabsatz"/>
        <w:ind w:left="0"/>
        <w:jc w:val="both"/>
        <w:rPr>
          <w:rFonts w:ascii="Arial" w:hAnsi="Arial" w:cs="Arial"/>
          <w:b/>
          <w:bCs/>
        </w:rPr>
      </w:pPr>
      <w:r w:rsidRPr="006C0930">
        <w:rPr>
          <w:rFonts w:ascii="Arial" w:hAnsi="Arial" w:cs="Arial"/>
          <w:b/>
          <w:bCs/>
        </w:rPr>
        <w:t>Von der Gesamtsumme schuldet K 20 %</w:t>
      </w:r>
      <w:r w:rsidRPr="006C0930">
        <w:rPr>
          <w:rFonts w:ascii="Arial" w:hAnsi="Arial" w:cs="Arial"/>
          <w:b/>
          <w:bCs/>
        </w:rPr>
        <w:tab/>
      </w:r>
      <w:r w:rsidRPr="006C0930">
        <w:rPr>
          <w:rFonts w:ascii="Arial" w:hAnsi="Arial" w:cs="Arial"/>
          <w:b/>
          <w:bCs/>
        </w:rPr>
        <w:tab/>
      </w:r>
      <w:r w:rsidRPr="006C0930">
        <w:rPr>
          <w:rFonts w:ascii="Arial" w:hAnsi="Arial" w:cs="Arial"/>
          <w:b/>
          <w:bCs/>
        </w:rPr>
        <w:tab/>
      </w:r>
      <w:r w:rsidR="006C0930" w:rsidRPr="006C0930">
        <w:rPr>
          <w:rFonts w:ascii="Arial" w:hAnsi="Arial" w:cs="Arial"/>
          <w:b/>
          <w:bCs/>
        </w:rPr>
        <w:t xml:space="preserve"> </w:t>
      </w:r>
      <w:r w:rsidRPr="006C0930">
        <w:rPr>
          <w:rFonts w:ascii="Arial" w:hAnsi="Arial" w:cs="Arial"/>
          <w:b/>
          <w:bCs/>
        </w:rPr>
        <w:tab/>
      </w:r>
      <w:r w:rsidR="006C0930" w:rsidRPr="006C0930">
        <w:rPr>
          <w:rFonts w:ascii="Arial" w:hAnsi="Arial" w:cs="Arial"/>
          <w:b/>
          <w:bCs/>
        </w:rPr>
        <w:t xml:space="preserve"> </w:t>
      </w:r>
      <w:r w:rsidRPr="006C0930">
        <w:rPr>
          <w:rFonts w:ascii="Arial" w:hAnsi="Arial" w:cs="Arial"/>
          <w:b/>
          <w:bCs/>
        </w:rPr>
        <w:t>74,90 EUR</w:t>
      </w:r>
    </w:p>
    <w:p w14:paraId="1F1E5C01" w14:textId="5FE1D15C" w:rsidR="00E31F94" w:rsidRDefault="00E31F94" w:rsidP="00E31F94">
      <w:pPr>
        <w:pStyle w:val="Listenabsatz"/>
        <w:ind w:left="0"/>
        <w:jc w:val="both"/>
        <w:rPr>
          <w:rFonts w:ascii="Arial" w:hAnsi="Arial" w:cs="Arial"/>
        </w:rPr>
      </w:pPr>
      <w:r>
        <w:rPr>
          <w:rFonts w:ascii="Arial" w:hAnsi="Arial" w:cs="Arial"/>
        </w:rPr>
        <w:t>Davon bereits gezahlt:</w:t>
      </w:r>
      <w:r>
        <w:rPr>
          <w:rFonts w:ascii="Arial" w:hAnsi="Arial" w:cs="Arial"/>
        </w:rPr>
        <w:tab/>
      </w:r>
      <w:r>
        <w:rPr>
          <w:rFonts w:ascii="Arial" w:hAnsi="Arial" w:cs="Arial"/>
        </w:rPr>
        <w:tab/>
      </w:r>
      <w:r>
        <w:rPr>
          <w:rFonts w:ascii="Arial" w:hAnsi="Arial" w:cs="Arial"/>
        </w:rPr>
        <w:tab/>
      </w:r>
      <w:r w:rsidR="006C0930">
        <w:rPr>
          <w:rFonts w:ascii="Arial" w:hAnsi="Arial" w:cs="Arial"/>
        </w:rPr>
        <w:tab/>
      </w:r>
      <w:r>
        <w:rPr>
          <w:rFonts w:ascii="Arial" w:hAnsi="Arial" w:cs="Arial"/>
        </w:rPr>
        <w:tab/>
      </w:r>
      <w:r w:rsidR="006C0930">
        <w:rPr>
          <w:rFonts w:ascii="Arial" w:hAnsi="Arial" w:cs="Arial"/>
        </w:rPr>
        <w:t xml:space="preserve">        1.123,50 EUR</w:t>
      </w:r>
    </w:p>
    <w:p w14:paraId="7EB256DD" w14:textId="0FC6FCED" w:rsidR="006C0930" w:rsidRDefault="006C0930" w:rsidP="00E31F94">
      <w:pPr>
        <w:pStyle w:val="Listenabsatz"/>
        <w:ind w:left="0"/>
        <w:jc w:val="both"/>
        <w:rPr>
          <w:rFonts w:ascii="Arial" w:hAnsi="Arial" w:cs="Arial"/>
        </w:rPr>
      </w:pPr>
      <w:r>
        <w:rPr>
          <w:rFonts w:ascii="Arial" w:hAnsi="Arial" w:cs="Arial"/>
        </w:rPr>
        <w:t xml:space="preserve">Rest (zu viel):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1.048,60 EUR</w:t>
      </w:r>
    </w:p>
    <w:p w14:paraId="04D2CA7B" w14:textId="77777777" w:rsidR="006C0930" w:rsidRDefault="006C0930" w:rsidP="00E31F94">
      <w:pPr>
        <w:pStyle w:val="Listenabsatz"/>
        <w:ind w:left="0"/>
        <w:jc w:val="both"/>
        <w:rPr>
          <w:rFonts w:ascii="Arial" w:hAnsi="Arial" w:cs="Arial"/>
        </w:rPr>
      </w:pPr>
    </w:p>
    <w:p w14:paraId="4FD61151" w14:textId="1BC4B763" w:rsidR="006C0930" w:rsidRDefault="006C0930" w:rsidP="00E31F94">
      <w:pPr>
        <w:pStyle w:val="Listenabsatz"/>
        <w:ind w:left="0"/>
        <w:jc w:val="both"/>
        <w:rPr>
          <w:rFonts w:ascii="Arial" w:hAnsi="Arial" w:cs="Arial"/>
          <w:i/>
          <w:iCs/>
          <w:color w:val="E97132" w:themeColor="accent2"/>
        </w:rPr>
      </w:pPr>
      <w:r w:rsidRPr="006C0930">
        <w:rPr>
          <w:rFonts w:ascii="Arial" w:hAnsi="Arial" w:cs="Arial"/>
          <w:i/>
          <w:iCs/>
          <w:color w:val="E97132" w:themeColor="accent2"/>
        </w:rPr>
        <w:t xml:space="preserve">Die restliche Mithaft des Klägers beträgt </w:t>
      </w:r>
      <w:r w:rsidRPr="006C0930">
        <w:rPr>
          <w:rFonts w:ascii="Arial" w:hAnsi="Arial" w:cs="Arial"/>
          <w:b/>
          <w:bCs/>
          <w:i/>
          <w:iCs/>
          <w:color w:val="E97132" w:themeColor="accent2"/>
        </w:rPr>
        <w:t>299,60 EUR</w:t>
      </w:r>
      <w:r w:rsidRPr="006C0930">
        <w:rPr>
          <w:rFonts w:ascii="Arial" w:hAnsi="Arial" w:cs="Arial"/>
          <w:i/>
          <w:iCs/>
          <w:color w:val="E97132" w:themeColor="accent2"/>
        </w:rPr>
        <w:t xml:space="preserve"> (374,50€ - 74,90€)</w:t>
      </w:r>
    </w:p>
    <w:p w14:paraId="315BFE3A" w14:textId="77777777" w:rsidR="006C0930" w:rsidRPr="006C0930" w:rsidRDefault="006C0930" w:rsidP="00E31F94">
      <w:pPr>
        <w:pStyle w:val="Listenabsatz"/>
        <w:ind w:left="0"/>
        <w:jc w:val="both"/>
        <w:rPr>
          <w:rFonts w:ascii="Arial" w:hAnsi="Arial" w:cs="Arial"/>
          <w:i/>
          <w:iCs/>
          <w:color w:val="E97132" w:themeColor="accent2"/>
        </w:rPr>
      </w:pPr>
    </w:p>
    <w:p w14:paraId="1BB87816" w14:textId="7B7149A6" w:rsidR="006C0930" w:rsidRDefault="006C0930" w:rsidP="00E31F94">
      <w:pPr>
        <w:pStyle w:val="Listenabsatz"/>
        <w:ind w:left="0"/>
        <w:jc w:val="both"/>
        <w:rPr>
          <w:rFonts w:ascii="Arial" w:hAnsi="Arial" w:cs="Arial"/>
        </w:rPr>
      </w:pPr>
      <w:r>
        <w:rPr>
          <w:rFonts w:ascii="Arial" w:hAnsi="Arial" w:cs="Arial"/>
        </w:rPr>
        <w:t xml:space="preserve">Auf die Kostenschuld des Beklagten zu 1) verrechnet: </w:t>
      </w:r>
      <w:r>
        <w:rPr>
          <w:rFonts w:ascii="Arial" w:hAnsi="Arial" w:cs="Arial"/>
        </w:rPr>
        <w:tab/>
        <w:t xml:space="preserve">         - 149,80 EUR </w:t>
      </w:r>
    </w:p>
    <w:p w14:paraId="24D8AE81" w14:textId="4DA6C0F9" w:rsidR="006C0930" w:rsidRDefault="006C0930" w:rsidP="006C0930">
      <w:pPr>
        <w:pStyle w:val="Listenabsatz"/>
        <w:ind w:left="0"/>
        <w:jc w:val="both"/>
        <w:rPr>
          <w:rFonts w:ascii="Arial" w:hAnsi="Arial" w:cs="Arial"/>
        </w:rPr>
      </w:pPr>
      <w:r>
        <w:rPr>
          <w:rFonts w:ascii="Arial" w:hAnsi="Arial" w:cs="Arial"/>
        </w:rPr>
        <w:t xml:space="preserve">Auf die Kostenschuld des Beklagten zu </w:t>
      </w:r>
      <w:r>
        <w:rPr>
          <w:rFonts w:ascii="Arial" w:hAnsi="Arial" w:cs="Arial"/>
        </w:rPr>
        <w:t>2</w:t>
      </w:r>
      <w:r>
        <w:rPr>
          <w:rFonts w:ascii="Arial" w:hAnsi="Arial" w:cs="Arial"/>
        </w:rPr>
        <w:t xml:space="preserve">) </w:t>
      </w:r>
      <w:r>
        <w:rPr>
          <w:rFonts w:ascii="Arial" w:hAnsi="Arial" w:cs="Arial"/>
        </w:rPr>
        <w:t>verrechnet</w:t>
      </w:r>
      <w:r>
        <w:rPr>
          <w:rFonts w:ascii="Arial" w:hAnsi="Arial" w:cs="Arial"/>
        </w:rPr>
        <w:t xml:space="preserve">: </w:t>
      </w:r>
      <w:r>
        <w:rPr>
          <w:rFonts w:ascii="Arial" w:hAnsi="Arial" w:cs="Arial"/>
        </w:rPr>
        <w:tab/>
        <w:t xml:space="preserve">    </w:t>
      </w:r>
      <w:r>
        <w:rPr>
          <w:rFonts w:ascii="Arial" w:hAnsi="Arial" w:cs="Arial"/>
        </w:rPr>
        <w:t xml:space="preserve">    </w:t>
      </w:r>
      <w:r>
        <w:rPr>
          <w:rFonts w:ascii="Arial" w:hAnsi="Arial" w:cs="Arial"/>
        </w:rPr>
        <w:t xml:space="preserve"> - 149,80 EUR </w:t>
      </w:r>
    </w:p>
    <w:p w14:paraId="27DED71E" w14:textId="7DC44A4E" w:rsidR="006C0930" w:rsidRPr="006C0930" w:rsidRDefault="006C0930" w:rsidP="006C0930">
      <w:pPr>
        <w:pStyle w:val="Listenabsatz"/>
        <w:ind w:left="0"/>
        <w:jc w:val="both"/>
        <w:rPr>
          <w:rFonts w:ascii="Arial" w:hAnsi="Arial" w:cs="Arial"/>
          <w:u w:val="single"/>
        </w:rPr>
      </w:pPr>
      <w:r w:rsidRPr="006C0930">
        <w:rPr>
          <w:rFonts w:ascii="Arial" w:hAnsi="Arial" w:cs="Arial"/>
          <w:u w:val="single"/>
        </w:rPr>
        <w:t xml:space="preserve">Rest (Überschuss): </w:t>
      </w:r>
      <w:r w:rsidRPr="006C0930">
        <w:rPr>
          <w:rFonts w:ascii="Arial" w:hAnsi="Arial" w:cs="Arial"/>
          <w:u w:val="single"/>
        </w:rPr>
        <w:tab/>
      </w:r>
      <w:r w:rsidRPr="006C0930">
        <w:rPr>
          <w:rFonts w:ascii="Arial" w:hAnsi="Arial" w:cs="Arial"/>
          <w:u w:val="single"/>
        </w:rPr>
        <w:tab/>
      </w:r>
      <w:r w:rsidRPr="006C0930">
        <w:rPr>
          <w:rFonts w:ascii="Arial" w:hAnsi="Arial" w:cs="Arial"/>
          <w:u w:val="single"/>
        </w:rPr>
        <w:tab/>
      </w:r>
      <w:r w:rsidRPr="006C0930">
        <w:rPr>
          <w:rFonts w:ascii="Arial" w:hAnsi="Arial" w:cs="Arial"/>
          <w:u w:val="single"/>
        </w:rPr>
        <w:tab/>
      </w:r>
      <w:r w:rsidRPr="006C0930">
        <w:rPr>
          <w:rFonts w:ascii="Arial" w:hAnsi="Arial" w:cs="Arial"/>
          <w:u w:val="single"/>
        </w:rPr>
        <w:tab/>
      </w:r>
      <w:r w:rsidRPr="006C0930">
        <w:rPr>
          <w:rFonts w:ascii="Arial" w:hAnsi="Arial" w:cs="Arial"/>
          <w:u w:val="single"/>
        </w:rPr>
        <w:tab/>
      </w:r>
      <w:r w:rsidRPr="006C0930">
        <w:rPr>
          <w:rFonts w:ascii="Arial" w:hAnsi="Arial" w:cs="Arial"/>
          <w:u w:val="single"/>
        </w:rPr>
        <w:tab/>
        <w:t>749,00 EUR</w:t>
      </w:r>
    </w:p>
    <w:p w14:paraId="51320E76" w14:textId="4E513994" w:rsidR="006C0930" w:rsidRDefault="006C0930" w:rsidP="00E31F94">
      <w:pPr>
        <w:pStyle w:val="Listenabsatz"/>
        <w:ind w:left="0"/>
        <w:jc w:val="both"/>
        <w:rPr>
          <w:rFonts w:ascii="Arial" w:hAnsi="Arial" w:cs="Arial"/>
        </w:rPr>
      </w:pPr>
    </w:p>
    <w:p w14:paraId="2920B12F" w14:textId="77777777" w:rsidR="006C0930" w:rsidRDefault="006C0930" w:rsidP="00E31F94">
      <w:pPr>
        <w:pStyle w:val="Listenabsatz"/>
        <w:ind w:left="0"/>
        <w:jc w:val="both"/>
        <w:rPr>
          <w:rFonts w:ascii="Arial" w:hAnsi="Arial" w:cs="Arial"/>
        </w:rPr>
      </w:pPr>
    </w:p>
    <w:p w14:paraId="603AFF75" w14:textId="15BC2C36" w:rsidR="006C0930" w:rsidRPr="006C0930" w:rsidRDefault="006C0930" w:rsidP="00E31F94">
      <w:pPr>
        <w:pStyle w:val="Listenabsatz"/>
        <w:ind w:left="0"/>
        <w:jc w:val="both"/>
        <w:rPr>
          <w:rFonts w:ascii="Arial" w:hAnsi="Arial" w:cs="Arial"/>
          <w:b/>
          <w:bCs/>
        </w:rPr>
      </w:pPr>
      <w:r w:rsidRPr="006C0930">
        <w:rPr>
          <w:rFonts w:ascii="Arial" w:hAnsi="Arial" w:cs="Arial"/>
          <w:b/>
          <w:bCs/>
        </w:rPr>
        <w:t xml:space="preserve">Von der Gesamtsumme schuldet </w:t>
      </w:r>
      <w:proofErr w:type="spellStart"/>
      <w:r w:rsidRPr="006C0930">
        <w:rPr>
          <w:rFonts w:ascii="Arial" w:hAnsi="Arial" w:cs="Arial"/>
          <w:b/>
          <w:bCs/>
        </w:rPr>
        <w:t>B1</w:t>
      </w:r>
      <w:proofErr w:type="spellEnd"/>
      <w:r w:rsidRPr="006C0930">
        <w:rPr>
          <w:rFonts w:ascii="Arial" w:hAnsi="Arial" w:cs="Arial"/>
          <w:b/>
          <w:bCs/>
        </w:rPr>
        <w:t xml:space="preserve"> 40%</w:t>
      </w:r>
      <w:r w:rsidRPr="006C0930">
        <w:rPr>
          <w:rFonts w:ascii="Arial" w:hAnsi="Arial" w:cs="Arial"/>
          <w:b/>
          <w:bCs/>
        </w:rPr>
        <w:tab/>
      </w:r>
      <w:r w:rsidRPr="006C0930">
        <w:rPr>
          <w:rFonts w:ascii="Arial" w:hAnsi="Arial" w:cs="Arial"/>
          <w:b/>
          <w:bCs/>
        </w:rPr>
        <w:tab/>
      </w:r>
      <w:r w:rsidRPr="006C0930">
        <w:rPr>
          <w:rFonts w:ascii="Arial" w:hAnsi="Arial" w:cs="Arial"/>
          <w:b/>
          <w:bCs/>
        </w:rPr>
        <w:tab/>
        <w:t>149,80 EUR</w:t>
      </w:r>
    </w:p>
    <w:p w14:paraId="73DD0C0F" w14:textId="102FEF30" w:rsidR="006C0930" w:rsidRDefault="006C0930" w:rsidP="00E31F94">
      <w:pPr>
        <w:pStyle w:val="Listenabsatz"/>
        <w:ind w:left="0"/>
        <w:jc w:val="both"/>
        <w:rPr>
          <w:rFonts w:ascii="Arial" w:hAnsi="Arial" w:cs="Arial"/>
        </w:rPr>
      </w:pPr>
      <w:r>
        <w:rPr>
          <w:rFonts w:ascii="Arial" w:hAnsi="Arial" w:cs="Arial"/>
        </w:rPr>
        <w:t xml:space="preserve">Davon bereits gezahlt: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0,00 EUR </w:t>
      </w:r>
    </w:p>
    <w:p w14:paraId="51BE8201" w14:textId="4258141E" w:rsidR="006C0930" w:rsidRDefault="006C0930" w:rsidP="00E31F94">
      <w:pPr>
        <w:pStyle w:val="Listenabsatz"/>
        <w:ind w:left="0"/>
        <w:jc w:val="both"/>
        <w:rPr>
          <w:rFonts w:ascii="Arial" w:hAnsi="Arial" w:cs="Arial"/>
        </w:rPr>
      </w:pPr>
      <w:r>
        <w:rPr>
          <w:rFonts w:ascii="Arial" w:hAnsi="Arial" w:cs="Arial"/>
        </w:rPr>
        <w:t xml:space="preserve">Rest (noch offen):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149,80 EUR </w:t>
      </w:r>
    </w:p>
    <w:p w14:paraId="0C01E0E4" w14:textId="75E0F40A" w:rsidR="006C0930" w:rsidRDefault="006C0930" w:rsidP="00E31F94">
      <w:pPr>
        <w:pStyle w:val="Listenabsatz"/>
        <w:ind w:left="0"/>
        <w:jc w:val="both"/>
        <w:rPr>
          <w:rFonts w:ascii="Arial" w:hAnsi="Arial" w:cs="Arial"/>
        </w:rPr>
      </w:pPr>
      <w:r>
        <w:rPr>
          <w:rFonts w:ascii="Arial" w:hAnsi="Arial" w:cs="Arial"/>
        </w:rPr>
        <w:t xml:space="preserve">Vom Überschuss des K verrechnet: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149,80 EUR </w:t>
      </w:r>
    </w:p>
    <w:p w14:paraId="418217C5" w14:textId="6F81F826" w:rsidR="006C0930" w:rsidRPr="006C0930" w:rsidRDefault="006C0930" w:rsidP="00E31F94">
      <w:pPr>
        <w:pStyle w:val="Listenabsatz"/>
        <w:ind w:left="0"/>
        <w:jc w:val="both"/>
        <w:rPr>
          <w:rFonts w:ascii="Arial" w:hAnsi="Arial" w:cs="Arial"/>
          <w:u w:val="single"/>
        </w:rPr>
      </w:pPr>
      <w:r w:rsidRPr="006C0930">
        <w:rPr>
          <w:rFonts w:ascii="Arial" w:hAnsi="Arial" w:cs="Arial"/>
          <w:u w:val="single"/>
        </w:rPr>
        <w:t xml:space="preserve">Rest: </w:t>
      </w:r>
      <w:r w:rsidRPr="006C0930">
        <w:rPr>
          <w:rFonts w:ascii="Arial" w:hAnsi="Arial" w:cs="Arial"/>
          <w:u w:val="single"/>
        </w:rPr>
        <w:tab/>
      </w:r>
      <w:r w:rsidRPr="006C0930">
        <w:rPr>
          <w:rFonts w:ascii="Arial" w:hAnsi="Arial" w:cs="Arial"/>
          <w:u w:val="single"/>
        </w:rPr>
        <w:tab/>
      </w:r>
      <w:r w:rsidRPr="006C0930">
        <w:rPr>
          <w:rFonts w:ascii="Arial" w:hAnsi="Arial" w:cs="Arial"/>
          <w:u w:val="single"/>
        </w:rPr>
        <w:tab/>
      </w:r>
      <w:r w:rsidRPr="006C0930">
        <w:rPr>
          <w:rFonts w:ascii="Arial" w:hAnsi="Arial" w:cs="Arial"/>
          <w:u w:val="single"/>
        </w:rPr>
        <w:tab/>
      </w:r>
      <w:r w:rsidRPr="006C0930">
        <w:rPr>
          <w:rFonts w:ascii="Arial" w:hAnsi="Arial" w:cs="Arial"/>
          <w:u w:val="single"/>
        </w:rPr>
        <w:tab/>
      </w:r>
      <w:r w:rsidRPr="006C0930">
        <w:rPr>
          <w:rFonts w:ascii="Arial" w:hAnsi="Arial" w:cs="Arial"/>
          <w:u w:val="single"/>
        </w:rPr>
        <w:tab/>
      </w:r>
      <w:r w:rsidRPr="006C0930">
        <w:rPr>
          <w:rFonts w:ascii="Arial" w:hAnsi="Arial" w:cs="Arial"/>
          <w:u w:val="single"/>
        </w:rPr>
        <w:tab/>
      </w:r>
      <w:r w:rsidRPr="006C0930">
        <w:rPr>
          <w:rFonts w:ascii="Arial" w:hAnsi="Arial" w:cs="Arial"/>
          <w:u w:val="single"/>
        </w:rPr>
        <w:tab/>
      </w:r>
      <w:r w:rsidRPr="006C0930">
        <w:rPr>
          <w:rFonts w:ascii="Arial" w:hAnsi="Arial" w:cs="Arial"/>
          <w:u w:val="single"/>
        </w:rPr>
        <w:tab/>
        <w:t xml:space="preserve">    0,00 EUR </w:t>
      </w:r>
    </w:p>
    <w:p w14:paraId="403F4249" w14:textId="77777777" w:rsidR="006C0930" w:rsidRDefault="006C0930" w:rsidP="00E31F94">
      <w:pPr>
        <w:pStyle w:val="Listenabsatz"/>
        <w:ind w:left="0"/>
        <w:jc w:val="both"/>
        <w:rPr>
          <w:rFonts w:ascii="Arial" w:hAnsi="Arial" w:cs="Arial"/>
        </w:rPr>
      </w:pPr>
    </w:p>
    <w:p w14:paraId="5C3FC4B1" w14:textId="0ECE2709" w:rsidR="006C0930" w:rsidRPr="006C0930" w:rsidRDefault="006C0930" w:rsidP="00E31F94">
      <w:pPr>
        <w:pStyle w:val="Listenabsatz"/>
        <w:ind w:left="0"/>
        <w:jc w:val="both"/>
        <w:rPr>
          <w:rFonts w:ascii="Arial" w:hAnsi="Arial" w:cs="Arial"/>
          <w:b/>
          <w:bCs/>
        </w:rPr>
      </w:pPr>
      <w:r w:rsidRPr="006C0930">
        <w:rPr>
          <w:rFonts w:ascii="Arial" w:hAnsi="Arial" w:cs="Arial"/>
          <w:b/>
          <w:bCs/>
        </w:rPr>
        <w:t xml:space="preserve">Von der Gesamtsumme schuldet </w:t>
      </w:r>
      <w:proofErr w:type="spellStart"/>
      <w:r w:rsidRPr="006C0930">
        <w:rPr>
          <w:rFonts w:ascii="Arial" w:hAnsi="Arial" w:cs="Arial"/>
          <w:b/>
          <w:bCs/>
        </w:rPr>
        <w:t>B2</w:t>
      </w:r>
      <w:proofErr w:type="spellEnd"/>
      <w:r w:rsidRPr="006C0930">
        <w:rPr>
          <w:rFonts w:ascii="Arial" w:hAnsi="Arial" w:cs="Arial"/>
          <w:b/>
          <w:bCs/>
        </w:rPr>
        <w:t xml:space="preserve"> 40%</w:t>
      </w:r>
      <w:r w:rsidRPr="006C0930">
        <w:rPr>
          <w:rFonts w:ascii="Arial" w:hAnsi="Arial" w:cs="Arial"/>
          <w:b/>
          <w:bCs/>
        </w:rPr>
        <w:tab/>
      </w:r>
      <w:r w:rsidRPr="006C0930">
        <w:rPr>
          <w:rFonts w:ascii="Arial" w:hAnsi="Arial" w:cs="Arial"/>
          <w:b/>
          <w:bCs/>
        </w:rPr>
        <w:tab/>
      </w:r>
      <w:r w:rsidRPr="006C0930">
        <w:rPr>
          <w:rFonts w:ascii="Arial" w:hAnsi="Arial" w:cs="Arial"/>
          <w:b/>
          <w:bCs/>
        </w:rPr>
        <w:tab/>
        <w:t>149,80 EUR</w:t>
      </w:r>
    </w:p>
    <w:p w14:paraId="537BAF6C" w14:textId="77777777" w:rsidR="006C0930" w:rsidRDefault="006C0930" w:rsidP="006C0930">
      <w:pPr>
        <w:pStyle w:val="Listenabsatz"/>
        <w:ind w:left="0"/>
        <w:jc w:val="both"/>
        <w:rPr>
          <w:rFonts w:ascii="Arial" w:hAnsi="Arial" w:cs="Arial"/>
        </w:rPr>
      </w:pPr>
      <w:r>
        <w:rPr>
          <w:rFonts w:ascii="Arial" w:hAnsi="Arial" w:cs="Arial"/>
        </w:rPr>
        <w:t xml:space="preserve">Davon bereits gezahlt: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0,00 EUR </w:t>
      </w:r>
    </w:p>
    <w:p w14:paraId="4B059D6C" w14:textId="77777777" w:rsidR="006C0930" w:rsidRDefault="006C0930" w:rsidP="006C0930">
      <w:pPr>
        <w:pStyle w:val="Listenabsatz"/>
        <w:ind w:left="0"/>
        <w:jc w:val="both"/>
        <w:rPr>
          <w:rFonts w:ascii="Arial" w:hAnsi="Arial" w:cs="Arial"/>
        </w:rPr>
      </w:pPr>
      <w:r>
        <w:rPr>
          <w:rFonts w:ascii="Arial" w:hAnsi="Arial" w:cs="Arial"/>
        </w:rPr>
        <w:t xml:space="preserve">Rest (noch offen):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149,80 EUR </w:t>
      </w:r>
    </w:p>
    <w:p w14:paraId="3175143F" w14:textId="77777777" w:rsidR="006C0930" w:rsidRDefault="006C0930" w:rsidP="006C0930">
      <w:pPr>
        <w:pStyle w:val="Listenabsatz"/>
        <w:ind w:left="0"/>
        <w:jc w:val="both"/>
        <w:rPr>
          <w:rFonts w:ascii="Arial" w:hAnsi="Arial" w:cs="Arial"/>
        </w:rPr>
      </w:pPr>
      <w:r>
        <w:rPr>
          <w:rFonts w:ascii="Arial" w:hAnsi="Arial" w:cs="Arial"/>
        </w:rPr>
        <w:t xml:space="preserve">Vom Überschuss des K verrechnet: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149,80 EUR </w:t>
      </w:r>
    </w:p>
    <w:p w14:paraId="739690D2" w14:textId="77777777" w:rsidR="006C0930" w:rsidRPr="006C0930" w:rsidRDefault="006C0930" w:rsidP="006C0930">
      <w:pPr>
        <w:pStyle w:val="Listenabsatz"/>
        <w:ind w:left="0"/>
        <w:jc w:val="both"/>
        <w:rPr>
          <w:rFonts w:ascii="Arial" w:hAnsi="Arial" w:cs="Arial"/>
          <w:u w:val="single"/>
        </w:rPr>
      </w:pPr>
      <w:r w:rsidRPr="006C0930">
        <w:rPr>
          <w:rFonts w:ascii="Arial" w:hAnsi="Arial" w:cs="Arial"/>
          <w:u w:val="single"/>
        </w:rPr>
        <w:t xml:space="preserve">Rest: </w:t>
      </w:r>
      <w:r w:rsidRPr="006C0930">
        <w:rPr>
          <w:rFonts w:ascii="Arial" w:hAnsi="Arial" w:cs="Arial"/>
          <w:u w:val="single"/>
        </w:rPr>
        <w:tab/>
      </w:r>
      <w:r w:rsidRPr="006C0930">
        <w:rPr>
          <w:rFonts w:ascii="Arial" w:hAnsi="Arial" w:cs="Arial"/>
          <w:u w:val="single"/>
        </w:rPr>
        <w:tab/>
      </w:r>
      <w:r w:rsidRPr="006C0930">
        <w:rPr>
          <w:rFonts w:ascii="Arial" w:hAnsi="Arial" w:cs="Arial"/>
          <w:u w:val="single"/>
        </w:rPr>
        <w:tab/>
      </w:r>
      <w:r w:rsidRPr="006C0930">
        <w:rPr>
          <w:rFonts w:ascii="Arial" w:hAnsi="Arial" w:cs="Arial"/>
          <w:u w:val="single"/>
        </w:rPr>
        <w:tab/>
      </w:r>
      <w:r w:rsidRPr="006C0930">
        <w:rPr>
          <w:rFonts w:ascii="Arial" w:hAnsi="Arial" w:cs="Arial"/>
          <w:u w:val="single"/>
        </w:rPr>
        <w:tab/>
      </w:r>
      <w:r w:rsidRPr="006C0930">
        <w:rPr>
          <w:rFonts w:ascii="Arial" w:hAnsi="Arial" w:cs="Arial"/>
          <w:u w:val="single"/>
        </w:rPr>
        <w:tab/>
      </w:r>
      <w:r w:rsidRPr="006C0930">
        <w:rPr>
          <w:rFonts w:ascii="Arial" w:hAnsi="Arial" w:cs="Arial"/>
          <w:u w:val="single"/>
        </w:rPr>
        <w:tab/>
      </w:r>
      <w:r w:rsidRPr="006C0930">
        <w:rPr>
          <w:rFonts w:ascii="Arial" w:hAnsi="Arial" w:cs="Arial"/>
          <w:u w:val="single"/>
        </w:rPr>
        <w:tab/>
      </w:r>
      <w:r w:rsidRPr="006C0930">
        <w:rPr>
          <w:rFonts w:ascii="Arial" w:hAnsi="Arial" w:cs="Arial"/>
          <w:u w:val="single"/>
        </w:rPr>
        <w:tab/>
        <w:t xml:space="preserve">    0,00 EUR </w:t>
      </w:r>
    </w:p>
    <w:p w14:paraId="29378F28" w14:textId="77777777" w:rsidR="006C0930" w:rsidRDefault="006C0930" w:rsidP="00E31F94">
      <w:pPr>
        <w:pStyle w:val="Listenabsatz"/>
        <w:ind w:left="0"/>
        <w:jc w:val="both"/>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928"/>
      </w:tblGrid>
      <w:tr w:rsidR="006C0930" w14:paraId="15928DDF" w14:textId="77777777" w:rsidTr="005E617A">
        <w:tc>
          <w:tcPr>
            <w:tcW w:w="1134" w:type="dxa"/>
            <w:shd w:val="clear" w:color="auto" w:fill="F2F2F2" w:themeFill="background1" w:themeFillShade="F2"/>
          </w:tcPr>
          <w:p w14:paraId="39C6EA0B" w14:textId="77777777" w:rsidR="006C0930" w:rsidRDefault="006C0930" w:rsidP="005E617A">
            <w:pPr>
              <w:rPr>
                <w:rFonts w:ascii="Arial" w:hAnsi="Arial" w:cs="Arial"/>
              </w:rPr>
            </w:pPr>
            <w:r>
              <w:rPr>
                <w:rFonts w:ascii="Arial" w:hAnsi="Arial" w:cs="Arial"/>
              </w:rPr>
              <w:t>Baustein</w:t>
            </w:r>
          </w:p>
          <w:p w14:paraId="1F0D795F" w14:textId="77777777" w:rsidR="006C0930" w:rsidRPr="00C43E71" w:rsidRDefault="006C0930" w:rsidP="005E617A">
            <w:pPr>
              <w:rPr>
                <w:rFonts w:ascii="Arial" w:hAnsi="Arial" w:cs="Arial"/>
                <w:b/>
                <w:sz w:val="28"/>
                <w:szCs w:val="28"/>
              </w:rPr>
            </w:pPr>
            <w:r w:rsidRPr="00C43E71">
              <w:rPr>
                <w:rFonts w:ascii="Arial" w:hAnsi="Arial" w:cs="Arial"/>
                <w:b/>
                <w:sz w:val="28"/>
                <w:szCs w:val="28"/>
              </w:rPr>
              <w:t>E</w:t>
            </w:r>
          </w:p>
        </w:tc>
        <w:tc>
          <w:tcPr>
            <w:tcW w:w="7928" w:type="dxa"/>
          </w:tcPr>
          <w:p w14:paraId="4B3E3023" w14:textId="77777777" w:rsidR="006C0930" w:rsidRDefault="006C0930" w:rsidP="005E617A">
            <w:pPr>
              <w:rPr>
                <w:rFonts w:ascii="Arial" w:hAnsi="Arial" w:cs="Arial"/>
              </w:rPr>
            </w:pPr>
            <w:r w:rsidRPr="0014093C">
              <w:rPr>
                <w:rFonts w:ascii="Arial" w:hAnsi="Arial" w:cs="Arial"/>
              </w:rPr>
              <w:t xml:space="preserve">Alle Kosten sind nun gem. </w:t>
            </w:r>
            <w:r w:rsidRPr="006C0930">
              <w:rPr>
                <w:rFonts w:ascii="Arial" w:hAnsi="Arial" w:cs="Arial"/>
                <w:b/>
                <w:bCs/>
                <w:color w:val="00B050"/>
              </w:rPr>
              <w:t>§ 9 Abs. 3 Nr. 1 GKG</w:t>
            </w:r>
            <w:r w:rsidRPr="006C0930">
              <w:rPr>
                <w:rFonts w:ascii="Arial" w:hAnsi="Arial" w:cs="Arial"/>
                <w:color w:val="00B050"/>
              </w:rPr>
              <w:t xml:space="preserve"> </w:t>
            </w:r>
            <w:r w:rsidRPr="0014093C">
              <w:rPr>
                <w:rFonts w:ascii="Arial" w:hAnsi="Arial" w:cs="Arial"/>
              </w:rPr>
              <w:t xml:space="preserve">fällig. </w:t>
            </w:r>
          </w:p>
          <w:p w14:paraId="62F5EF07" w14:textId="60500E46" w:rsidR="006C0930" w:rsidRDefault="006C0930" w:rsidP="005E617A">
            <w:pPr>
              <w:rPr>
                <w:rFonts w:ascii="Arial" w:hAnsi="Arial" w:cs="Arial"/>
              </w:rPr>
            </w:pPr>
            <w:r w:rsidRPr="0014093C">
              <w:rPr>
                <w:rFonts w:ascii="Arial" w:hAnsi="Arial" w:cs="Arial"/>
              </w:rPr>
              <w:t xml:space="preserve">Gem. </w:t>
            </w:r>
            <w:r w:rsidRPr="006C0930">
              <w:rPr>
                <w:rFonts w:ascii="Arial" w:hAnsi="Arial" w:cs="Arial"/>
                <w:b/>
                <w:bCs/>
                <w:color w:val="00B050"/>
              </w:rPr>
              <w:t>§ 28 Abs. 1 KostVfg</w:t>
            </w:r>
            <w:r w:rsidRPr="006C0930">
              <w:rPr>
                <w:rFonts w:ascii="Arial" w:hAnsi="Arial" w:cs="Arial"/>
                <w:color w:val="00B050"/>
              </w:rPr>
              <w:t xml:space="preserve"> </w:t>
            </w:r>
            <w:r>
              <w:rPr>
                <w:rFonts w:ascii="Arial" w:hAnsi="Arial" w:cs="Arial"/>
              </w:rPr>
              <w:t>I</w:t>
            </w:r>
            <w:r w:rsidRPr="0014093C">
              <w:rPr>
                <w:rFonts w:ascii="Arial" w:hAnsi="Arial" w:cs="Arial"/>
              </w:rPr>
              <w:t>st nunmehr eine neue Kostenrechnung</w:t>
            </w:r>
            <w:r>
              <w:rPr>
                <w:rFonts w:ascii="Arial" w:hAnsi="Arial" w:cs="Arial"/>
              </w:rPr>
              <w:t>,</w:t>
            </w:r>
            <w:r w:rsidRPr="0014093C">
              <w:rPr>
                <w:rFonts w:ascii="Arial" w:hAnsi="Arial" w:cs="Arial"/>
              </w:rPr>
              <w:t xml:space="preserve"> die Schlusskostenrechnung, zu erstellen.</w:t>
            </w:r>
          </w:p>
          <w:p w14:paraId="0FDFBE41" w14:textId="77777777" w:rsidR="006C0930" w:rsidRDefault="006C0930" w:rsidP="005E617A">
            <w:pPr>
              <w:rPr>
                <w:rFonts w:ascii="Arial" w:hAnsi="Arial" w:cs="Arial"/>
              </w:rPr>
            </w:pPr>
          </w:p>
        </w:tc>
      </w:tr>
      <w:tr w:rsidR="006C0930" w:rsidRPr="0014093C" w14:paraId="203189A7" w14:textId="77777777" w:rsidTr="005E617A">
        <w:tc>
          <w:tcPr>
            <w:tcW w:w="1134" w:type="dxa"/>
            <w:shd w:val="clear" w:color="auto" w:fill="F2F2F2" w:themeFill="background1" w:themeFillShade="F2"/>
          </w:tcPr>
          <w:p w14:paraId="325957B7" w14:textId="77777777" w:rsidR="006C0930" w:rsidRPr="00C43E71" w:rsidRDefault="006C0930" w:rsidP="005E617A">
            <w:pPr>
              <w:rPr>
                <w:rFonts w:ascii="Arial" w:hAnsi="Arial" w:cs="Arial"/>
                <w:b/>
              </w:rPr>
            </w:pPr>
            <w:r w:rsidRPr="00C43E71">
              <w:rPr>
                <w:rFonts w:ascii="Arial" w:hAnsi="Arial" w:cs="Arial"/>
                <w:b/>
                <w:sz w:val="28"/>
                <w:szCs w:val="28"/>
              </w:rPr>
              <w:t>F</w:t>
            </w:r>
          </w:p>
        </w:tc>
        <w:tc>
          <w:tcPr>
            <w:tcW w:w="7928" w:type="dxa"/>
          </w:tcPr>
          <w:p w14:paraId="2886C7B2" w14:textId="77777777" w:rsidR="006C0930" w:rsidRDefault="006C0930" w:rsidP="005E617A">
            <w:pPr>
              <w:rPr>
                <w:rFonts w:ascii="Arial" w:hAnsi="Arial" w:cs="Arial"/>
              </w:rPr>
            </w:pPr>
            <w:r>
              <w:rPr>
                <w:rFonts w:ascii="Arial" w:hAnsi="Arial" w:cs="Arial"/>
              </w:rPr>
              <w:t xml:space="preserve">Kostenschuldner sind gem. </w:t>
            </w:r>
            <w:r w:rsidRPr="006C0930">
              <w:rPr>
                <w:rFonts w:ascii="Arial" w:hAnsi="Arial" w:cs="Arial"/>
                <w:b/>
                <w:bCs/>
                <w:color w:val="00B050"/>
              </w:rPr>
              <w:t>§ 29 Nr. 1 GKG</w:t>
            </w:r>
            <w:r w:rsidRPr="006C0930">
              <w:rPr>
                <w:rFonts w:ascii="Arial" w:hAnsi="Arial" w:cs="Arial"/>
                <w:color w:val="00B050"/>
              </w:rPr>
              <w:t xml:space="preserve"> </w:t>
            </w:r>
            <w:r>
              <w:rPr>
                <w:rFonts w:ascii="Arial" w:hAnsi="Arial" w:cs="Arial"/>
              </w:rPr>
              <w:t xml:space="preserve">der Kläger zu 20% und die Beklagten </w:t>
            </w:r>
            <w:r w:rsidRPr="00EB323C">
              <w:rPr>
                <w:rFonts w:ascii="Arial" w:hAnsi="Arial" w:cs="Arial"/>
              </w:rPr>
              <w:t xml:space="preserve">zu je 40% </w:t>
            </w:r>
            <w:r>
              <w:rPr>
                <w:rFonts w:ascii="Arial" w:hAnsi="Arial" w:cs="Arial"/>
              </w:rPr>
              <w:t xml:space="preserve">als </w:t>
            </w:r>
            <w:r w:rsidRPr="00EB323C">
              <w:rPr>
                <w:rFonts w:ascii="Arial" w:hAnsi="Arial" w:cs="Arial"/>
              </w:rPr>
              <w:t>Entscheidungsschuldner</w:t>
            </w:r>
            <w:r>
              <w:rPr>
                <w:rFonts w:ascii="Arial" w:hAnsi="Arial" w:cs="Arial"/>
              </w:rPr>
              <w:t>.</w:t>
            </w:r>
          </w:p>
          <w:p w14:paraId="55A7C4B0" w14:textId="77777777" w:rsidR="006C0930" w:rsidRPr="0014093C" w:rsidRDefault="006C0930" w:rsidP="005E617A">
            <w:pPr>
              <w:rPr>
                <w:rFonts w:ascii="Arial" w:hAnsi="Arial" w:cs="Arial"/>
              </w:rPr>
            </w:pPr>
          </w:p>
        </w:tc>
      </w:tr>
      <w:tr w:rsidR="006C0930" w14:paraId="1425DF21" w14:textId="77777777" w:rsidTr="005E617A">
        <w:tc>
          <w:tcPr>
            <w:tcW w:w="1134" w:type="dxa"/>
            <w:shd w:val="clear" w:color="auto" w:fill="F2F2F2" w:themeFill="background1" w:themeFillShade="F2"/>
          </w:tcPr>
          <w:p w14:paraId="277A8CDB" w14:textId="77777777" w:rsidR="006C0930" w:rsidRPr="00C43E71" w:rsidRDefault="006C0930" w:rsidP="005E617A">
            <w:pPr>
              <w:rPr>
                <w:rFonts w:ascii="Arial" w:hAnsi="Arial" w:cs="Arial"/>
                <w:b/>
              </w:rPr>
            </w:pPr>
            <w:r w:rsidRPr="00C43E71">
              <w:rPr>
                <w:rFonts w:ascii="Arial" w:hAnsi="Arial" w:cs="Arial"/>
                <w:b/>
                <w:sz w:val="28"/>
                <w:szCs w:val="28"/>
              </w:rPr>
              <w:t>G</w:t>
            </w:r>
          </w:p>
        </w:tc>
        <w:tc>
          <w:tcPr>
            <w:tcW w:w="7928" w:type="dxa"/>
          </w:tcPr>
          <w:p w14:paraId="237A8873" w14:textId="77777777" w:rsidR="006C0930" w:rsidRDefault="006C0930" w:rsidP="005E617A">
            <w:pPr>
              <w:rPr>
                <w:rFonts w:ascii="Arial" w:hAnsi="Arial" w:cs="Arial"/>
              </w:rPr>
            </w:pPr>
            <w:r>
              <w:rPr>
                <w:rFonts w:ascii="Arial" w:hAnsi="Arial" w:cs="Arial"/>
              </w:rPr>
              <w:t xml:space="preserve">Der vom Kläger als Antragsteller </w:t>
            </w:r>
            <w:r w:rsidRPr="00EB323C">
              <w:rPr>
                <w:rFonts w:ascii="Arial" w:hAnsi="Arial" w:cs="Arial"/>
              </w:rPr>
              <w:t xml:space="preserve">gem. </w:t>
            </w:r>
            <w:r w:rsidRPr="006C0930">
              <w:rPr>
                <w:rFonts w:ascii="Arial" w:hAnsi="Arial" w:cs="Arial"/>
                <w:b/>
                <w:bCs/>
                <w:color w:val="00B050"/>
              </w:rPr>
              <w:t>§ 22 Abs. 1 GKG</w:t>
            </w:r>
            <w:r w:rsidRPr="006C0930">
              <w:rPr>
                <w:rFonts w:ascii="Arial" w:hAnsi="Arial" w:cs="Arial"/>
                <w:color w:val="00B050"/>
              </w:rPr>
              <w:t xml:space="preserve"> </w:t>
            </w:r>
            <w:r>
              <w:rPr>
                <w:rFonts w:ascii="Arial" w:hAnsi="Arial" w:cs="Arial"/>
              </w:rPr>
              <w:t>geleistete Vorschuss ist im Rahmen der restlichen Mithaft auf die Kostenschuld der Beklagten zu verrechnen.</w:t>
            </w:r>
          </w:p>
          <w:p w14:paraId="2ED163EB" w14:textId="77777777" w:rsidR="006C0930" w:rsidRDefault="006C0930" w:rsidP="005E617A">
            <w:pPr>
              <w:rPr>
                <w:rFonts w:ascii="Arial" w:hAnsi="Arial" w:cs="Arial"/>
              </w:rPr>
            </w:pPr>
          </w:p>
          <w:p w14:paraId="31F2F46E" w14:textId="77777777" w:rsidR="006C0930" w:rsidRDefault="006C0930" w:rsidP="005E617A">
            <w:pPr>
              <w:rPr>
                <w:rFonts w:ascii="Arial" w:hAnsi="Arial" w:cs="Arial"/>
              </w:rPr>
            </w:pPr>
            <w:r>
              <w:rPr>
                <w:rFonts w:ascii="Arial" w:hAnsi="Arial" w:cs="Arial"/>
              </w:rPr>
              <w:t xml:space="preserve">Die verbleibende Überzahlung wird gem. </w:t>
            </w:r>
            <w:r w:rsidRPr="006C0930">
              <w:rPr>
                <w:rFonts w:ascii="Arial" w:hAnsi="Arial" w:cs="Arial"/>
                <w:b/>
                <w:bCs/>
                <w:color w:val="00B050"/>
              </w:rPr>
              <w:t>§ 29 Abs. 3 und 4 S. 1 KostVfg</w:t>
            </w:r>
            <w:r w:rsidRPr="006C0930">
              <w:rPr>
                <w:rFonts w:ascii="Arial" w:hAnsi="Arial" w:cs="Arial"/>
                <w:color w:val="00B050"/>
              </w:rPr>
              <w:t xml:space="preserve"> </w:t>
            </w:r>
            <w:r>
              <w:rPr>
                <w:rFonts w:ascii="Arial" w:hAnsi="Arial" w:cs="Arial"/>
              </w:rPr>
              <w:t xml:space="preserve">mit Kost 18 an den Kläger </w:t>
            </w:r>
            <w:r w:rsidRPr="00646B31">
              <w:rPr>
                <w:rFonts w:ascii="Arial" w:hAnsi="Arial" w:cs="Arial"/>
                <w:i/>
              </w:rPr>
              <w:t>(ggf. über dessen Prozessbevollmächtigte</w:t>
            </w:r>
            <w:r>
              <w:rPr>
                <w:rFonts w:ascii="Arial" w:hAnsi="Arial" w:cs="Arial"/>
                <w:i/>
              </w:rPr>
              <w:t>/</w:t>
            </w:r>
            <w:r w:rsidRPr="00646B31">
              <w:rPr>
                <w:rFonts w:ascii="Arial" w:hAnsi="Arial" w:cs="Arial"/>
                <w:i/>
              </w:rPr>
              <w:t>n)</w:t>
            </w:r>
            <w:r>
              <w:rPr>
                <w:rFonts w:ascii="Arial" w:hAnsi="Arial" w:cs="Arial"/>
              </w:rPr>
              <w:t xml:space="preserve"> erstattet.</w:t>
            </w:r>
          </w:p>
          <w:p w14:paraId="5097F36E" w14:textId="77777777" w:rsidR="006C0930" w:rsidRDefault="006C0930" w:rsidP="005E617A">
            <w:pPr>
              <w:rPr>
                <w:rFonts w:ascii="Arial" w:hAnsi="Arial" w:cs="Arial"/>
              </w:rPr>
            </w:pPr>
          </w:p>
          <w:p w14:paraId="7062AA22" w14:textId="77777777" w:rsidR="006C0930" w:rsidRDefault="006C0930" w:rsidP="005E617A">
            <w:pPr>
              <w:rPr>
                <w:rFonts w:ascii="Arial" w:hAnsi="Arial" w:cs="Arial"/>
              </w:rPr>
            </w:pPr>
            <w:r>
              <w:rPr>
                <w:rFonts w:ascii="Arial" w:hAnsi="Arial" w:cs="Arial"/>
              </w:rPr>
              <w:t>Auf Seiten der Beklagten sind keine weiteren Kosten nachzufordern.</w:t>
            </w:r>
          </w:p>
        </w:tc>
      </w:tr>
    </w:tbl>
    <w:p w14:paraId="151AA209" w14:textId="77777777" w:rsidR="006C0930" w:rsidRPr="00E31F94" w:rsidRDefault="006C0930" w:rsidP="00E31F94">
      <w:pPr>
        <w:pStyle w:val="Listenabsatz"/>
        <w:ind w:left="0"/>
        <w:jc w:val="both"/>
        <w:rPr>
          <w:rFonts w:ascii="Arial" w:hAnsi="Arial" w:cs="Arial"/>
        </w:rPr>
      </w:pPr>
    </w:p>
    <w:sectPr w:rsidR="006C0930" w:rsidRPr="00E31F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F94"/>
    <w:rsid w:val="001D07BF"/>
    <w:rsid w:val="002B0A75"/>
    <w:rsid w:val="002F3087"/>
    <w:rsid w:val="006C0930"/>
    <w:rsid w:val="00747FF1"/>
    <w:rsid w:val="00D60B84"/>
    <w:rsid w:val="00DB34D9"/>
    <w:rsid w:val="00DB5F73"/>
    <w:rsid w:val="00E31F94"/>
    <w:rsid w:val="00E53144"/>
    <w:rsid w:val="00EC68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2366"/>
  <w15:chartTrackingRefBased/>
  <w15:docId w15:val="{9CBEE85F-DA5A-4EB2-9F49-3867E11E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1F94"/>
    <w:rPr>
      <w:kern w:val="0"/>
      <w14:ligatures w14:val="none"/>
    </w:rPr>
  </w:style>
  <w:style w:type="paragraph" w:styleId="berschrift1">
    <w:name w:val="heading 1"/>
    <w:basedOn w:val="Standard"/>
    <w:next w:val="Standard"/>
    <w:link w:val="berschrift1Zchn"/>
    <w:uiPriority w:val="9"/>
    <w:qFormat/>
    <w:rsid w:val="00E31F9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E31F9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E31F9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E31F9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E31F9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E31F9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E31F94"/>
    <w:pPr>
      <w:keepNext/>
      <w:keepLines/>
      <w:spacing w:before="40" w:after="0"/>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E31F94"/>
    <w:pPr>
      <w:keepNext/>
      <w:keepLines/>
      <w:spacing w:after="0"/>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E31F94"/>
    <w:pPr>
      <w:keepNext/>
      <w:keepLines/>
      <w:spacing w:after="0"/>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31F9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31F9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31F9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31F9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31F9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31F9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31F9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31F9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31F94"/>
    <w:rPr>
      <w:rFonts w:eastAsiaTheme="majorEastAsia" w:cstheme="majorBidi"/>
      <w:color w:val="272727" w:themeColor="text1" w:themeTint="D8"/>
    </w:rPr>
  </w:style>
  <w:style w:type="paragraph" w:styleId="Titel">
    <w:name w:val="Title"/>
    <w:basedOn w:val="Standard"/>
    <w:next w:val="Standard"/>
    <w:link w:val="TitelZchn"/>
    <w:uiPriority w:val="10"/>
    <w:qFormat/>
    <w:rsid w:val="00E31F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E31F9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31F9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E31F9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31F94"/>
    <w:pPr>
      <w:spacing w:before="160"/>
      <w:jc w:val="center"/>
    </w:pPr>
    <w:rPr>
      <w:i/>
      <w:iCs/>
      <w:color w:val="404040" w:themeColor="text1" w:themeTint="BF"/>
      <w:kern w:val="2"/>
      <w14:ligatures w14:val="standardContextual"/>
    </w:rPr>
  </w:style>
  <w:style w:type="character" w:customStyle="1" w:styleId="ZitatZchn">
    <w:name w:val="Zitat Zchn"/>
    <w:basedOn w:val="Absatz-Standardschriftart"/>
    <w:link w:val="Zitat"/>
    <w:uiPriority w:val="29"/>
    <w:rsid w:val="00E31F94"/>
    <w:rPr>
      <w:i/>
      <w:iCs/>
      <w:color w:val="404040" w:themeColor="text1" w:themeTint="BF"/>
    </w:rPr>
  </w:style>
  <w:style w:type="paragraph" w:styleId="Listenabsatz">
    <w:name w:val="List Paragraph"/>
    <w:basedOn w:val="Standard"/>
    <w:uiPriority w:val="34"/>
    <w:qFormat/>
    <w:rsid w:val="00E31F94"/>
    <w:pPr>
      <w:ind w:left="720"/>
      <w:contextualSpacing/>
    </w:pPr>
    <w:rPr>
      <w:kern w:val="2"/>
      <w14:ligatures w14:val="standardContextual"/>
    </w:rPr>
  </w:style>
  <w:style w:type="character" w:styleId="IntensiveHervorhebung">
    <w:name w:val="Intense Emphasis"/>
    <w:basedOn w:val="Absatz-Standardschriftart"/>
    <w:uiPriority w:val="21"/>
    <w:qFormat/>
    <w:rsid w:val="00E31F94"/>
    <w:rPr>
      <w:i/>
      <w:iCs/>
      <w:color w:val="0F4761" w:themeColor="accent1" w:themeShade="BF"/>
    </w:rPr>
  </w:style>
  <w:style w:type="paragraph" w:styleId="IntensivesZitat">
    <w:name w:val="Intense Quote"/>
    <w:basedOn w:val="Standard"/>
    <w:next w:val="Standard"/>
    <w:link w:val="IntensivesZitatZchn"/>
    <w:uiPriority w:val="30"/>
    <w:qFormat/>
    <w:rsid w:val="00E31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E31F94"/>
    <w:rPr>
      <w:i/>
      <w:iCs/>
      <w:color w:val="0F4761" w:themeColor="accent1" w:themeShade="BF"/>
    </w:rPr>
  </w:style>
  <w:style w:type="character" w:styleId="IntensiverVerweis">
    <w:name w:val="Intense Reference"/>
    <w:basedOn w:val="Absatz-Standardschriftart"/>
    <w:uiPriority w:val="32"/>
    <w:qFormat/>
    <w:rsid w:val="00E31F94"/>
    <w:rPr>
      <w:b/>
      <w:bCs/>
      <w:smallCaps/>
      <w:color w:val="0F4761" w:themeColor="accent1" w:themeShade="BF"/>
      <w:spacing w:val="5"/>
    </w:rPr>
  </w:style>
  <w:style w:type="table" w:styleId="Tabellenraster">
    <w:name w:val="Table Grid"/>
    <w:basedOn w:val="NormaleTabelle"/>
    <w:uiPriority w:val="39"/>
    <w:rsid w:val="00E31F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3344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Luckey, Nina</dc:creator>
  <cp:keywords/>
  <dc:description/>
  <cp:lastModifiedBy>Luckey, Nina</cp:lastModifiedBy>
  <cp:revision>1</cp:revision>
  <dcterms:created xsi:type="dcterms:W3CDTF">2025-11-13T09:39:00Z</dcterms:created>
  <dcterms:modified xsi:type="dcterms:W3CDTF">2025-11-13T10:00:00Z</dcterms:modified>
</cp:coreProperties>
</file>