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544BF" w14:textId="77777777" w:rsidR="00B72C74" w:rsidRPr="00E37CE5" w:rsidRDefault="00B72C74" w:rsidP="00B72C74">
      <w:pPr>
        <w:spacing w:after="0" w:line="240" w:lineRule="auto"/>
        <w:jc w:val="center"/>
        <w:rPr>
          <w:rFonts w:ascii="Arial" w:hAnsi="Arial" w:cs="Arial"/>
          <w:b/>
          <w:sz w:val="28"/>
          <w:szCs w:val="28"/>
        </w:rPr>
      </w:pPr>
      <w:r>
        <w:rPr>
          <w:rFonts w:ascii="Arial" w:hAnsi="Arial" w:cs="Arial"/>
          <w:b/>
          <w:sz w:val="28"/>
          <w:szCs w:val="28"/>
        </w:rPr>
        <w:t>Übungsblatt IV</w:t>
      </w:r>
    </w:p>
    <w:p w14:paraId="676B3684" w14:textId="77777777" w:rsidR="00B72C74" w:rsidRPr="008536A3" w:rsidRDefault="00B72C74" w:rsidP="00B72C74">
      <w:pPr>
        <w:spacing w:after="0" w:line="240" w:lineRule="auto"/>
        <w:jc w:val="center"/>
        <w:rPr>
          <w:rFonts w:ascii="Arial" w:hAnsi="Arial" w:cs="Arial"/>
          <w:b/>
        </w:rPr>
      </w:pPr>
      <w:r w:rsidRPr="008536A3">
        <w:rPr>
          <w:rFonts w:ascii="Arial" w:hAnsi="Arial" w:cs="Arial"/>
          <w:b/>
        </w:rPr>
        <w:t>Schlusskostenrechnung</w:t>
      </w:r>
    </w:p>
    <w:p w14:paraId="17174BB5" w14:textId="77777777" w:rsidR="00B72C74" w:rsidRPr="008536A3" w:rsidRDefault="00B72C74" w:rsidP="00B72C74">
      <w:pPr>
        <w:rPr>
          <w:rFonts w:ascii="Arial" w:hAnsi="Arial" w:cs="Arial"/>
          <w:b/>
          <w:u w:val="single"/>
        </w:rPr>
      </w:pPr>
      <w:r w:rsidRPr="008536A3">
        <w:rPr>
          <w:rFonts w:ascii="Arial" w:hAnsi="Arial" w:cs="Arial"/>
          <w:b/>
          <w:u w:val="single"/>
        </w:rPr>
        <w:t>Aufgabenstellung:</w:t>
      </w:r>
    </w:p>
    <w:p w14:paraId="73C02BDA" w14:textId="77777777" w:rsidR="00B72C74" w:rsidRPr="008536A3" w:rsidRDefault="00B72C74" w:rsidP="00B72C74">
      <w:pPr>
        <w:jc w:val="both"/>
        <w:rPr>
          <w:rFonts w:ascii="Arial" w:hAnsi="Arial" w:cs="Arial"/>
          <w:b/>
          <w:u w:val="single"/>
        </w:rPr>
      </w:pPr>
      <w:r w:rsidRPr="008536A3">
        <w:rPr>
          <w:rFonts w:ascii="Arial" w:hAnsi="Arial" w:cs="Arial"/>
          <w:b/>
        </w:rPr>
        <w:t xml:space="preserve">Fertigen Sie </w:t>
      </w:r>
      <w:r>
        <w:rPr>
          <w:rFonts w:ascii="Arial" w:hAnsi="Arial" w:cs="Arial"/>
          <w:b/>
        </w:rPr>
        <w:t xml:space="preserve">zu den </w:t>
      </w:r>
      <w:r w:rsidRPr="008536A3">
        <w:rPr>
          <w:rFonts w:ascii="Arial" w:hAnsi="Arial" w:cs="Arial"/>
          <w:b/>
        </w:rPr>
        <w:t xml:space="preserve">nachfolgend näher bezeichneten </w:t>
      </w:r>
      <w:r>
        <w:rPr>
          <w:rFonts w:ascii="Arial" w:hAnsi="Arial" w:cs="Arial"/>
          <w:b/>
        </w:rPr>
        <w:t>Verfahren</w:t>
      </w:r>
      <w:r w:rsidRPr="008536A3">
        <w:rPr>
          <w:rFonts w:ascii="Arial" w:hAnsi="Arial" w:cs="Arial"/>
          <w:b/>
        </w:rPr>
        <w:t xml:space="preserve"> die </w:t>
      </w:r>
      <w:r w:rsidRPr="008536A3">
        <w:rPr>
          <w:rFonts w:ascii="Arial" w:hAnsi="Arial" w:cs="Arial"/>
          <w:b/>
          <w:u w:val="single"/>
        </w:rPr>
        <w:t>Schluss</w:t>
      </w:r>
      <w:r>
        <w:rPr>
          <w:rFonts w:ascii="Arial" w:hAnsi="Arial" w:cs="Arial"/>
          <w:b/>
          <w:u w:val="single"/>
        </w:rPr>
        <w:softHyphen/>
      </w:r>
      <w:r w:rsidRPr="008536A3">
        <w:rPr>
          <w:rFonts w:ascii="Arial" w:hAnsi="Arial" w:cs="Arial"/>
          <w:b/>
        </w:rPr>
        <w:t>kostenrechnung unter betragsmäßiger Angabe der Mithaft. Weiterhin ist zu prüfen und zu begründen, ob eine Ermäßigung der Verfahrensgebühr eingetreten ist.</w:t>
      </w:r>
    </w:p>
    <w:p w14:paraId="2E5F46E1" w14:textId="77777777" w:rsidR="00B72C74" w:rsidRPr="008536A3" w:rsidRDefault="00B72C74" w:rsidP="00B72C74">
      <w:pPr>
        <w:rPr>
          <w:rFonts w:ascii="Arial" w:hAnsi="Arial" w:cs="Arial"/>
          <w:b/>
          <w:u w:val="single"/>
        </w:rPr>
      </w:pPr>
      <w:r>
        <w:rPr>
          <w:rFonts w:ascii="Arial" w:hAnsi="Arial" w:cs="Arial"/>
          <w:b/>
          <w:u w:val="single"/>
        </w:rPr>
        <w:t>Verfahren</w:t>
      </w:r>
      <w:r w:rsidRPr="008536A3">
        <w:rPr>
          <w:rFonts w:ascii="Arial" w:hAnsi="Arial" w:cs="Arial"/>
          <w:b/>
          <w:u w:val="single"/>
        </w:rPr>
        <w:t xml:space="preserve"> 1</w:t>
      </w:r>
    </w:p>
    <w:p w14:paraId="182EE2CF" w14:textId="77777777" w:rsidR="00B72C74" w:rsidRPr="008536A3" w:rsidRDefault="00B72C74" w:rsidP="00B72C74">
      <w:pPr>
        <w:jc w:val="both"/>
        <w:rPr>
          <w:rFonts w:ascii="Arial" w:hAnsi="Arial" w:cs="Arial"/>
        </w:rPr>
      </w:pPr>
      <w:r w:rsidRPr="008536A3">
        <w:rPr>
          <w:rFonts w:ascii="Arial" w:hAnsi="Arial" w:cs="Arial"/>
        </w:rPr>
        <w:t xml:space="preserve">K klagt gegen B auf Zahlung von 800,00 EUR nebst 120,00 EUR Inkassokosten. Auf der Klageschrift ist ein Gerichtskostenstempler über 72,00 EUR angebracht. Nach Zahlung des vom Kostenbeamten richtig berechneten Kostenbetrags wird die Klageschrift dem B zugestellt. Nach Erörterung der Sach- und Rechtslage ergeht folgendes </w:t>
      </w:r>
      <w:r w:rsidRPr="002D0AE7">
        <w:rPr>
          <w:rFonts w:ascii="Arial" w:hAnsi="Arial" w:cs="Arial"/>
          <w:u w:val="single"/>
        </w:rPr>
        <w:t>streitiges Urteil</w:t>
      </w:r>
      <w:r w:rsidRPr="008536A3">
        <w:rPr>
          <w:rFonts w:ascii="Arial" w:hAnsi="Arial" w:cs="Arial"/>
        </w:rPr>
        <w:t>:</w:t>
      </w:r>
    </w:p>
    <w:p w14:paraId="59BFD419" w14:textId="77777777" w:rsidR="00B72C74" w:rsidRPr="008536A3" w:rsidRDefault="00B72C74" w:rsidP="00B72C74">
      <w:pPr>
        <w:pStyle w:val="Listenabsatz"/>
        <w:numPr>
          <w:ilvl w:val="0"/>
          <w:numId w:val="1"/>
        </w:numPr>
        <w:jc w:val="both"/>
        <w:rPr>
          <w:rFonts w:ascii="Arial" w:hAnsi="Arial" w:cs="Arial"/>
        </w:rPr>
      </w:pPr>
      <w:r w:rsidRPr="008536A3">
        <w:rPr>
          <w:rFonts w:ascii="Arial" w:hAnsi="Arial" w:cs="Arial"/>
        </w:rPr>
        <w:t>B wird verurteilt, an K 700,00 EUR zu zahlen.</w:t>
      </w:r>
    </w:p>
    <w:p w14:paraId="2F38A610" w14:textId="77777777" w:rsidR="00B72C74" w:rsidRPr="002D0AE7" w:rsidRDefault="00B72C74" w:rsidP="00B72C74">
      <w:pPr>
        <w:pStyle w:val="Listenabsatz"/>
        <w:numPr>
          <w:ilvl w:val="0"/>
          <w:numId w:val="1"/>
        </w:numPr>
        <w:jc w:val="both"/>
        <w:rPr>
          <w:rFonts w:ascii="Arial" w:hAnsi="Arial" w:cs="Arial"/>
          <w:b/>
          <w:bCs/>
        </w:rPr>
      </w:pPr>
      <w:r w:rsidRPr="002D0AE7">
        <w:rPr>
          <w:rFonts w:ascii="Arial" w:hAnsi="Arial" w:cs="Arial"/>
          <w:b/>
          <w:bCs/>
        </w:rPr>
        <w:t>Die Kosten des Verfahrens trägt K zu 80% und B zu 20%</w:t>
      </w:r>
    </w:p>
    <w:p w14:paraId="2B478BA1" w14:textId="77777777" w:rsidR="00B72C74" w:rsidRDefault="00B72C74" w:rsidP="00B72C74">
      <w:pPr>
        <w:pStyle w:val="Listenabsatz"/>
        <w:numPr>
          <w:ilvl w:val="0"/>
          <w:numId w:val="1"/>
        </w:numPr>
        <w:jc w:val="both"/>
        <w:rPr>
          <w:rFonts w:ascii="Arial" w:hAnsi="Arial" w:cs="Arial"/>
        </w:rPr>
      </w:pPr>
      <w:r w:rsidRPr="008536A3">
        <w:rPr>
          <w:rFonts w:ascii="Arial" w:hAnsi="Arial" w:cs="Arial"/>
        </w:rPr>
        <w:t>Im Übrigen wird die Klage abgewiesen.</w:t>
      </w:r>
    </w:p>
    <w:p w14:paraId="72C474D4" w14:textId="77777777" w:rsidR="00B72C74" w:rsidRDefault="00B72C74" w:rsidP="00B72C74">
      <w:pPr>
        <w:jc w:val="both"/>
        <w:rPr>
          <w:rFonts w:ascii="Arial" w:hAnsi="Arial" w:cs="Arial"/>
          <w:b/>
          <w:bCs/>
        </w:rPr>
      </w:pPr>
      <w:r>
        <w:rPr>
          <w:rFonts w:ascii="Arial" w:hAnsi="Arial" w:cs="Arial"/>
          <w:b/>
          <w:bCs/>
        </w:rPr>
        <w:t>Streitwertberechnung:</w:t>
      </w:r>
    </w:p>
    <w:p w14:paraId="75C2E4F2" w14:textId="77777777" w:rsidR="00B72C74" w:rsidRDefault="00B72C74" w:rsidP="00B72C74">
      <w:pPr>
        <w:jc w:val="both"/>
        <w:rPr>
          <w:rFonts w:ascii="Arial" w:hAnsi="Arial" w:cs="Arial"/>
        </w:rPr>
      </w:pPr>
      <w:r w:rsidRPr="00B1692B">
        <w:rPr>
          <w:rFonts w:ascii="Arial" w:hAnsi="Arial" w:cs="Arial"/>
          <w:b/>
          <w:bCs/>
        </w:rPr>
        <w:t>800,00 EUR</w:t>
      </w:r>
      <w:r>
        <w:rPr>
          <w:rFonts w:ascii="Arial" w:hAnsi="Arial" w:cs="Arial"/>
        </w:rPr>
        <w:t xml:space="preserve"> §§ 48 Abs. 1 GKG i.V.m. 3 ff. ZPO </w:t>
      </w:r>
    </w:p>
    <w:p w14:paraId="50D60289" w14:textId="77777777" w:rsidR="00B72C74" w:rsidRDefault="00B72C74" w:rsidP="00B72C74">
      <w:pPr>
        <w:jc w:val="both"/>
        <w:rPr>
          <w:rFonts w:ascii="Arial" w:hAnsi="Arial" w:cs="Arial"/>
        </w:rPr>
      </w:pPr>
      <w:r>
        <w:rPr>
          <w:rFonts w:ascii="Arial" w:hAnsi="Arial" w:cs="Arial"/>
        </w:rPr>
        <w:t>120,00 EUR werden gem. § 43 Abs. 1 Var. 4 GKG</w:t>
      </w:r>
    </w:p>
    <w:p w14:paraId="3D2C2DE4" w14:textId="77777777" w:rsidR="00B72C74" w:rsidRDefault="00B72C74" w:rsidP="00B72C74">
      <w:pPr>
        <w:spacing w:after="0" w:line="240" w:lineRule="auto"/>
        <w:jc w:val="both"/>
        <w:rPr>
          <w:rFonts w:ascii="Arial" w:hAnsi="Arial" w:cs="Arial"/>
        </w:rPr>
      </w:pPr>
      <w:r w:rsidRPr="00997304">
        <w:rPr>
          <w:rFonts w:ascii="Arial" w:hAnsi="Arial" w:cs="Arial"/>
        </w:rPr>
        <w:t xml:space="preserve">Eine Ermäßigung nach Nr. 1211 KV GKG scheidet aus, da </w:t>
      </w:r>
      <w:r>
        <w:rPr>
          <w:rFonts w:ascii="Arial" w:hAnsi="Arial" w:cs="Arial"/>
        </w:rPr>
        <w:t>das Verfahren durch streitiges Urteil beendet worden ist.</w:t>
      </w:r>
    </w:p>
    <w:p w14:paraId="62E961C9" w14:textId="77777777" w:rsidR="00B72C74" w:rsidRDefault="00B72C74" w:rsidP="00B72C74">
      <w:pPr>
        <w:jc w:val="both"/>
        <w:rPr>
          <w:rFonts w:ascii="Arial" w:hAnsi="Arial" w:cs="Arial"/>
        </w:rPr>
      </w:pPr>
    </w:p>
    <w:tbl>
      <w:tblPr>
        <w:tblStyle w:val="Tabellenraster"/>
        <w:tblW w:w="0" w:type="auto"/>
        <w:tblLook w:val="04A0" w:firstRow="1" w:lastRow="0" w:firstColumn="1" w:lastColumn="0" w:noHBand="0" w:noVBand="1"/>
      </w:tblPr>
      <w:tblGrid>
        <w:gridCol w:w="2088"/>
        <w:gridCol w:w="1031"/>
        <w:gridCol w:w="1361"/>
        <w:gridCol w:w="1227"/>
        <w:gridCol w:w="1801"/>
        <w:gridCol w:w="1554"/>
      </w:tblGrid>
      <w:tr w:rsidR="00B72C74" w14:paraId="50047D71" w14:textId="77777777" w:rsidTr="006E2130">
        <w:tc>
          <w:tcPr>
            <w:tcW w:w="2088" w:type="dxa"/>
            <w:vMerge w:val="restart"/>
          </w:tcPr>
          <w:p w14:paraId="2E5953AE" w14:textId="77777777" w:rsidR="00B72C74" w:rsidRDefault="00B72C74" w:rsidP="006E2130">
            <w:pPr>
              <w:rPr>
                <w:rFonts w:ascii="Arial" w:hAnsi="Arial" w:cs="Arial"/>
                <w:b/>
              </w:rPr>
            </w:pPr>
            <w:r>
              <w:rPr>
                <w:rFonts w:ascii="Arial" w:hAnsi="Arial" w:cs="Arial"/>
                <w:b/>
              </w:rPr>
              <w:t>Tatbestand</w:t>
            </w:r>
          </w:p>
        </w:tc>
        <w:tc>
          <w:tcPr>
            <w:tcW w:w="1031" w:type="dxa"/>
            <w:vMerge w:val="restart"/>
          </w:tcPr>
          <w:p w14:paraId="33EC1720" w14:textId="77777777" w:rsidR="00B72C74" w:rsidRDefault="00B72C74" w:rsidP="006E2130">
            <w:pPr>
              <w:rPr>
                <w:rFonts w:ascii="Arial" w:hAnsi="Arial" w:cs="Arial"/>
                <w:b/>
              </w:rPr>
            </w:pPr>
            <w:r>
              <w:rPr>
                <w:rFonts w:ascii="Arial" w:hAnsi="Arial" w:cs="Arial"/>
                <w:b/>
              </w:rPr>
              <w:t>KV-Nr.:</w:t>
            </w:r>
          </w:p>
        </w:tc>
        <w:tc>
          <w:tcPr>
            <w:tcW w:w="1361" w:type="dxa"/>
            <w:vMerge w:val="restart"/>
          </w:tcPr>
          <w:p w14:paraId="033FE319" w14:textId="77777777" w:rsidR="00B72C74" w:rsidRDefault="00B72C74" w:rsidP="006E2130">
            <w:pPr>
              <w:rPr>
                <w:rFonts w:ascii="Arial" w:hAnsi="Arial" w:cs="Arial"/>
                <w:b/>
              </w:rPr>
            </w:pPr>
            <w:r>
              <w:rPr>
                <w:rFonts w:ascii="Arial" w:hAnsi="Arial" w:cs="Arial"/>
                <w:b/>
              </w:rPr>
              <w:t>Wert (EUR)</w:t>
            </w:r>
          </w:p>
        </w:tc>
        <w:tc>
          <w:tcPr>
            <w:tcW w:w="1227" w:type="dxa"/>
            <w:vMerge w:val="restart"/>
          </w:tcPr>
          <w:p w14:paraId="44F7D999" w14:textId="77777777" w:rsidR="00B72C74" w:rsidRDefault="00B72C74" w:rsidP="006E2130">
            <w:pPr>
              <w:rPr>
                <w:rFonts w:ascii="Arial" w:hAnsi="Arial" w:cs="Arial"/>
                <w:b/>
              </w:rPr>
            </w:pPr>
            <w:r>
              <w:rPr>
                <w:rFonts w:ascii="Arial" w:hAnsi="Arial" w:cs="Arial"/>
                <w:b/>
              </w:rPr>
              <w:t>Betrag (EUR):</w:t>
            </w:r>
          </w:p>
        </w:tc>
        <w:tc>
          <w:tcPr>
            <w:tcW w:w="3355" w:type="dxa"/>
            <w:gridSpan w:val="2"/>
          </w:tcPr>
          <w:p w14:paraId="7363A02B" w14:textId="77777777" w:rsidR="00B72C74" w:rsidRDefault="00B72C74" w:rsidP="006E2130">
            <w:pPr>
              <w:jc w:val="center"/>
              <w:rPr>
                <w:rFonts w:ascii="Arial" w:hAnsi="Arial" w:cs="Arial"/>
                <w:b/>
              </w:rPr>
            </w:pPr>
            <w:r>
              <w:rPr>
                <w:rFonts w:ascii="Arial" w:hAnsi="Arial" w:cs="Arial"/>
                <w:b/>
              </w:rPr>
              <w:t>Maximale Mithaft (EUR):</w:t>
            </w:r>
          </w:p>
        </w:tc>
      </w:tr>
      <w:tr w:rsidR="00B72C74" w14:paraId="423D45C9" w14:textId="77777777" w:rsidTr="006E2130">
        <w:tc>
          <w:tcPr>
            <w:tcW w:w="2088" w:type="dxa"/>
            <w:vMerge/>
          </w:tcPr>
          <w:p w14:paraId="574D4093" w14:textId="77777777" w:rsidR="00B72C74" w:rsidRDefault="00B72C74" w:rsidP="006E2130">
            <w:pPr>
              <w:rPr>
                <w:rFonts w:ascii="Arial" w:hAnsi="Arial" w:cs="Arial"/>
                <w:b/>
              </w:rPr>
            </w:pPr>
          </w:p>
        </w:tc>
        <w:tc>
          <w:tcPr>
            <w:tcW w:w="1031" w:type="dxa"/>
            <w:vMerge/>
          </w:tcPr>
          <w:p w14:paraId="49B33027" w14:textId="77777777" w:rsidR="00B72C74" w:rsidRDefault="00B72C74" w:rsidP="006E2130">
            <w:pPr>
              <w:rPr>
                <w:rFonts w:ascii="Arial" w:hAnsi="Arial" w:cs="Arial"/>
                <w:b/>
              </w:rPr>
            </w:pPr>
          </w:p>
        </w:tc>
        <w:tc>
          <w:tcPr>
            <w:tcW w:w="1361" w:type="dxa"/>
            <w:vMerge/>
          </w:tcPr>
          <w:p w14:paraId="7A4B1F75" w14:textId="77777777" w:rsidR="00B72C74" w:rsidRDefault="00B72C74" w:rsidP="006E2130">
            <w:pPr>
              <w:rPr>
                <w:rFonts w:ascii="Arial" w:hAnsi="Arial" w:cs="Arial"/>
                <w:b/>
              </w:rPr>
            </w:pPr>
          </w:p>
        </w:tc>
        <w:tc>
          <w:tcPr>
            <w:tcW w:w="1227" w:type="dxa"/>
            <w:vMerge/>
          </w:tcPr>
          <w:p w14:paraId="2F02BCCC" w14:textId="77777777" w:rsidR="00B72C74" w:rsidRDefault="00B72C74" w:rsidP="006E2130">
            <w:pPr>
              <w:rPr>
                <w:rFonts w:ascii="Arial" w:hAnsi="Arial" w:cs="Arial"/>
                <w:b/>
              </w:rPr>
            </w:pPr>
          </w:p>
        </w:tc>
        <w:tc>
          <w:tcPr>
            <w:tcW w:w="1801" w:type="dxa"/>
          </w:tcPr>
          <w:p w14:paraId="1711AA2A" w14:textId="77777777" w:rsidR="00B72C74" w:rsidRDefault="00B72C74" w:rsidP="006E2130">
            <w:pPr>
              <w:rPr>
                <w:rFonts w:ascii="Arial" w:hAnsi="Arial" w:cs="Arial"/>
                <w:b/>
              </w:rPr>
            </w:pPr>
            <w:r>
              <w:rPr>
                <w:rFonts w:ascii="Arial" w:hAnsi="Arial" w:cs="Arial"/>
                <w:b/>
              </w:rPr>
              <w:t>Kläger</w:t>
            </w:r>
          </w:p>
        </w:tc>
        <w:tc>
          <w:tcPr>
            <w:tcW w:w="1554" w:type="dxa"/>
          </w:tcPr>
          <w:p w14:paraId="1BB9CEBF" w14:textId="77777777" w:rsidR="00B72C74" w:rsidRDefault="00B72C74" w:rsidP="006E2130">
            <w:pPr>
              <w:rPr>
                <w:rFonts w:ascii="Arial" w:hAnsi="Arial" w:cs="Arial"/>
                <w:b/>
              </w:rPr>
            </w:pPr>
            <w:r>
              <w:rPr>
                <w:rFonts w:ascii="Arial" w:hAnsi="Arial" w:cs="Arial"/>
                <w:b/>
              </w:rPr>
              <w:t>Beklagter</w:t>
            </w:r>
          </w:p>
        </w:tc>
      </w:tr>
      <w:tr w:rsidR="00B72C74" w14:paraId="17F9E0BF" w14:textId="77777777" w:rsidTr="006E2130">
        <w:tc>
          <w:tcPr>
            <w:tcW w:w="2088" w:type="dxa"/>
            <w:tcBorders>
              <w:bottom w:val="single" w:sz="4" w:space="0" w:color="auto"/>
            </w:tcBorders>
          </w:tcPr>
          <w:p w14:paraId="43AB060A" w14:textId="77777777" w:rsidR="00B72C74" w:rsidRDefault="00B72C74" w:rsidP="006E2130">
            <w:pPr>
              <w:rPr>
                <w:rFonts w:ascii="Arial" w:hAnsi="Arial" w:cs="Arial"/>
                <w:b/>
              </w:rPr>
            </w:pPr>
            <w:r>
              <w:rPr>
                <w:rFonts w:ascii="Arial" w:hAnsi="Arial" w:cs="Arial"/>
                <w:b/>
              </w:rPr>
              <w:t>Verf. Im Allg.</w:t>
            </w:r>
          </w:p>
        </w:tc>
        <w:tc>
          <w:tcPr>
            <w:tcW w:w="1031" w:type="dxa"/>
            <w:tcBorders>
              <w:bottom w:val="single" w:sz="4" w:space="0" w:color="auto"/>
            </w:tcBorders>
          </w:tcPr>
          <w:p w14:paraId="13137531" w14:textId="77777777" w:rsidR="00B72C74" w:rsidRDefault="00B72C74" w:rsidP="006E2130">
            <w:pPr>
              <w:rPr>
                <w:rFonts w:ascii="Arial" w:hAnsi="Arial" w:cs="Arial"/>
                <w:b/>
              </w:rPr>
            </w:pPr>
            <w:r>
              <w:rPr>
                <w:rFonts w:ascii="Arial" w:hAnsi="Arial" w:cs="Arial"/>
                <w:b/>
              </w:rPr>
              <w:t>1210</w:t>
            </w:r>
          </w:p>
        </w:tc>
        <w:tc>
          <w:tcPr>
            <w:tcW w:w="1361" w:type="dxa"/>
            <w:tcBorders>
              <w:bottom w:val="single" w:sz="4" w:space="0" w:color="auto"/>
            </w:tcBorders>
          </w:tcPr>
          <w:p w14:paraId="6C839E2F" w14:textId="77777777" w:rsidR="00B72C74" w:rsidRDefault="00B72C74" w:rsidP="006E2130">
            <w:pPr>
              <w:rPr>
                <w:rFonts w:ascii="Arial" w:hAnsi="Arial" w:cs="Arial"/>
                <w:b/>
              </w:rPr>
            </w:pPr>
            <w:r>
              <w:rPr>
                <w:rFonts w:ascii="Arial" w:hAnsi="Arial" w:cs="Arial"/>
                <w:b/>
              </w:rPr>
              <w:t>800</w:t>
            </w:r>
          </w:p>
        </w:tc>
        <w:tc>
          <w:tcPr>
            <w:tcW w:w="1227" w:type="dxa"/>
            <w:tcBorders>
              <w:bottom w:val="single" w:sz="4" w:space="0" w:color="auto"/>
            </w:tcBorders>
          </w:tcPr>
          <w:p w14:paraId="1058528F" w14:textId="77777777" w:rsidR="00B72C74" w:rsidRDefault="00B72C74" w:rsidP="006E2130">
            <w:pPr>
              <w:rPr>
                <w:rFonts w:ascii="Arial" w:hAnsi="Arial" w:cs="Arial"/>
                <w:b/>
              </w:rPr>
            </w:pPr>
            <w:r>
              <w:rPr>
                <w:rFonts w:ascii="Arial" w:hAnsi="Arial" w:cs="Arial"/>
                <w:b/>
              </w:rPr>
              <w:t>183,00</w:t>
            </w:r>
          </w:p>
        </w:tc>
        <w:tc>
          <w:tcPr>
            <w:tcW w:w="1801" w:type="dxa"/>
            <w:tcBorders>
              <w:bottom w:val="single" w:sz="4" w:space="0" w:color="auto"/>
            </w:tcBorders>
          </w:tcPr>
          <w:p w14:paraId="2763F791" w14:textId="77777777" w:rsidR="00B72C74" w:rsidRDefault="00B72C74" w:rsidP="006E2130">
            <w:pPr>
              <w:rPr>
                <w:rFonts w:ascii="Arial" w:hAnsi="Arial" w:cs="Arial"/>
                <w:b/>
              </w:rPr>
            </w:pPr>
            <w:r>
              <w:rPr>
                <w:rFonts w:ascii="Arial" w:hAnsi="Arial" w:cs="Arial"/>
                <w:b/>
              </w:rPr>
              <w:t>183,00</w:t>
            </w:r>
          </w:p>
        </w:tc>
        <w:tc>
          <w:tcPr>
            <w:tcW w:w="1554" w:type="dxa"/>
            <w:tcBorders>
              <w:bottom w:val="single" w:sz="4" w:space="0" w:color="auto"/>
            </w:tcBorders>
          </w:tcPr>
          <w:p w14:paraId="411D3152" w14:textId="77777777" w:rsidR="00B72C74" w:rsidRDefault="00B72C74" w:rsidP="006E2130">
            <w:pPr>
              <w:rPr>
                <w:rFonts w:ascii="Arial" w:hAnsi="Arial" w:cs="Arial"/>
                <w:b/>
              </w:rPr>
            </w:pPr>
          </w:p>
        </w:tc>
      </w:tr>
    </w:tbl>
    <w:p w14:paraId="682FBD93" w14:textId="77777777" w:rsidR="00B72C74" w:rsidRPr="002D0AE7" w:rsidRDefault="00B72C74" w:rsidP="00B72C74">
      <w:pPr>
        <w:jc w:val="both"/>
        <w:rPr>
          <w:rFonts w:ascii="Arial" w:hAnsi="Arial" w:cs="Arial"/>
          <w:b/>
          <w:bCs/>
          <w:u w:val="singl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D0AE7">
        <w:rPr>
          <w:rFonts w:ascii="Arial" w:hAnsi="Arial" w:cs="Arial"/>
          <w:b/>
          <w:bCs/>
          <w:u w:val="single"/>
        </w:rPr>
        <w:t>Summe:    183,00</w:t>
      </w:r>
    </w:p>
    <w:p w14:paraId="0A88A778" w14:textId="77777777" w:rsidR="00B72C74" w:rsidRDefault="00B72C74" w:rsidP="00B72C74">
      <w:pPr>
        <w:jc w:val="both"/>
        <w:rPr>
          <w:rFonts w:ascii="Arial" w:hAnsi="Arial" w:cs="Arial"/>
        </w:rPr>
      </w:pPr>
      <w:r>
        <w:rPr>
          <w:rFonts w:ascii="Arial" w:hAnsi="Arial" w:cs="Arial"/>
        </w:rPr>
        <w:t>Von der Gesamtsumme schuldet K 80%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146,40 EUR</w:t>
      </w:r>
    </w:p>
    <w:p w14:paraId="378D4BC2" w14:textId="77777777" w:rsidR="00B72C74" w:rsidRDefault="00B72C74" w:rsidP="00B72C74">
      <w:pPr>
        <w:jc w:val="both"/>
        <w:rPr>
          <w:rFonts w:ascii="Arial" w:hAnsi="Arial" w:cs="Arial"/>
        </w:rPr>
      </w:pPr>
      <w:r>
        <w:rPr>
          <w:rFonts w:ascii="Arial" w:hAnsi="Arial" w:cs="Arial"/>
        </w:rPr>
        <w:t>Bereits von K gezahlt (</w:t>
      </w:r>
      <w:proofErr w:type="spellStart"/>
      <w:r>
        <w:rPr>
          <w:rFonts w:ascii="Arial" w:hAnsi="Arial" w:cs="Arial"/>
        </w:rPr>
        <w:t>GKS</w:t>
      </w:r>
      <w:proofErr w:type="spellEnd"/>
      <w:r>
        <w:rPr>
          <w:rFonts w:ascii="Arial" w:hAnsi="Arial" w:cs="Arial"/>
        </w:rPr>
        <w:t xml:space="preserve"> </w:t>
      </w:r>
      <w:proofErr w:type="spellStart"/>
      <w:r>
        <w:rPr>
          <w:rFonts w:ascii="Arial" w:hAnsi="Arial" w:cs="Arial"/>
        </w:rPr>
        <w:t>i.H.v</w:t>
      </w:r>
      <w:proofErr w:type="spellEnd"/>
      <w:r>
        <w:rPr>
          <w:rFonts w:ascii="Arial" w:hAnsi="Arial" w:cs="Arial"/>
        </w:rPr>
        <w:t xml:space="preserve">. 72,00 EUR + 111,00 EUR </w:t>
      </w:r>
      <w:proofErr w:type="spellStart"/>
      <w:r>
        <w:rPr>
          <w:rFonts w:ascii="Arial" w:hAnsi="Arial" w:cs="Arial"/>
        </w:rPr>
        <w:t>Nachford</w:t>
      </w:r>
      <w:proofErr w:type="spellEnd"/>
      <w:r>
        <w:rPr>
          <w:rFonts w:ascii="Arial" w:hAnsi="Arial" w:cs="Arial"/>
        </w:rPr>
        <w:t>.)</w:t>
      </w:r>
      <w:r>
        <w:rPr>
          <w:rFonts w:ascii="Arial" w:hAnsi="Arial" w:cs="Arial"/>
        </w:rPr>
        <w:tab/>
      </w:r>
      <w:r>
        <w:rPr>
          <w:rFonts w:ascii="Arial" w:hAnsi="Arial" w:cs="Arial"/>
        </w:rPr>
        <w:tab/>
        <w:t xml:space="preserve"> 183,00 EUR</w:t>
      </w:r>
    </w:p>
    <w:p w14:paraId="42A02EEA" w14:textId="77777777" w:rsidR="00B72C74" w:rsidRDefault="00B72C74" w:rsidP="00B72C74">
      <w:pPr>
        <w:jc w:val="both"/>
        <w:rPr>
          <w:rFonts w:ascii="Arial" w:hAnsi="Arial" w:cs="Arial"/>
        </w:rPr>
      </w:pPr>
      <w:r>
        <w:rPr>
          <w:rFonts w:ascii="Arial" w:hAnsi="Arial" w:cs="Arial"/>
        </w:rPr>
        <w:t>Zu viel: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36,60 EUR</w:t>
      </w:r>
    </w:p>
    <w:p w14:paraId="16348DE5" w14:textId="77777777" w:rsidR="00B72C74" w:rsidRDefault="00B72C74" w:rsidP="00B72C74">
      <w:pPr>
        <w:jc w:val="both"/>
        <w:rPr>
          <w:rFonts w:ascii="Arial" w:hAnsi="Arial" w:cs="Arial"/>
        </w:rPr>
      </w:pPr>
      <w:r>
        <w:rPr>
          <w:rFonts w:ascii="Arial" w:hAnsi="Arial" w:cs="Arial"/>
        </w:rPr>
        <w:t>Auf die Kostenschuld des B zu verrechnen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36,60 EUR</w:t>
      </w:r>
    </w:p>
    <w:p w14:paraId="79343738" w14:textId="77777777" w:rsidR="00B72C74" w:rsidRPr="00391543" w:rsidRDefault="00B72C74" w:rsidP="00B72C74">
      <w:pPr>
        <w:jc w:val="both"/>
        <w:rPr>
          <w:rFonts w:ascii="Arial" w:hAnsi="Arial" w:cs="Arial"/>
          <w:u w:val="single"/>
        </w:rPr>
      </w:pPr>
      <w:r w:rsidRPr="00391543">
        <w:rPr>
          <w:rFonts w:ascii="Arial" w:hAnsi="Arial" w:cs="Arial"/>
          <w:u w:val="single"/>
        </w:rPr>
        <w:t>Rest:</w:t>
      </w:r>
      <w:r w:rsidRPr="00391543">
        <w:rPr>
          <w:rFonts w:ascii="Arial" w:hAnsi="Arial" w:cs="Arial"/>
          <w:u w:val="single"/>
        </w:rPr>
        <w:tab/>
      </w:r>
      <w:r w:rsidRPr="00391543">
        <w:rPr>
          <w:rFonts w:ascii="Arial" w:hAnsi="Arial" w:cs="Arial"/>
          <w:u w:val="single"/>
        </w:rPr>
        <w:tab/>
      </w:r>
      <w:r w:rsidRPr="00391543">
        <w:rPr>
          <w:rFonts w:ascii="Arial" w:hAnsi="Arial" w:cs="Arial"/>
          <w:u w:val="single"/>
        </w:rPr>
        <w:tab/>
      </w:r>
      <w:r w:rsidRPr="00391543">
        <w:rPr>
          <w:rFonts w:ascii="Arial" w:hAnsi="Arial" w:cs="Arial"/>
          <w:u w:val="single"/>
        </w:rPr>
        <w:tab/>
      </w:r>
      <w:r w:rsidRPr="00391543">
        <w:rPr>
          <w:rFonts w:ascii="Arial" w:hAnsi="Arial" w:cs="Arial"/>
          <w:u w:val="single"/>
        </w:rPr>
        <w:tab/>
      </w:r>
      <w:r w:rsidRPr="00391543">
        <w:rPr>
          <w:rFonts w:ascii="Arial" w:hAnsi="Arial" w:cs="Arial"/>
          <w:u w:val="single"/>
        </w:rPr>
        <w:tab/>
      </w:r>
      <w:r w:rsidRPr="00391543">
        <w:rPr>
          <w:rFonts w:ascii="Arial" w:hAnsi="Arial" w:cs="Arial"/>
          <w:u w:val="single"/>
        </w:rPr>
        <w:tab/>
      </w:r>
      <w:r w:rsidRPr="00391543">
        <w:rPr>
          <w:rFonts w:ascii="Arial" w:hAnsi="Arial" w:cs="Arial"/>
          <w:u w:val="single"/>
        </w:rPr>
        <w:tab/>
      </w:r>
      <w:r w:rsidRPr="00391543">
        <w:rPr>
          <w:rFonts w:ascii="Arial" w:hAnsi="Arial" w:cs="Arial"/>
          <w:u w:val="single"/>
        </w:rPr>
        <w:tab/>
      </w:r>
      <w:r w:rsidRPr="00391543">
        <w:rPr>
          <w:rFonts w:ascii="Arial" w:hAnsi="Arial" w:cs="Arial"/>
          <w:u w:val="single"/>
        </w:rPr>
        <w:tab/>
      </w:r>
      <w:r w:rsidRPr="00391543">
        <w:rPr>
          <w:rFonts w:ascii="Arial" w:hAnsi="Arial" w:cs="Arial"/>
          <w:u w:val="single"/>
        </w:rPr>
        <w:tab/>
        <w:t xml:space="preserve">     0,00 EUR</w:t>
      </w:r>
    </w:p>
    <w:p w14:paraId="633765EA" w14:textId="77777777" w:rsidR="00B72C74" w:rsidRDefault="00B72C74" w:rsidP="00B72C74">
      <w:pPr>
        <w:jc w:val="both"/>
        <w:rPr>
          <w:rFonts w:ascii="Arial" w:hAnsi="Arial" w:cs="Arial"/>
        </w:rPr>
      </w:pPr>
      <w:r>
        <w:rPr>
          <w:rFonts w:ascii="Arial" w:hAnsi="Arial" w:cs="Arial"/>
        </w:rPr>
        <w:t>Von der Gesamtsumme schuldet B 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36,60 EUR</w:t>
      </w:r>
    </w:p>
    <w:p w14:paraId="5F4DA489" w14:textId="77777777" w:rsidR="00B72C74" w:rsidRDefault="00B72C74" w:rsidP="00B72C74">
      <w:pPr>
        <w:jc w:val="both"/>
        <w:rPr>
          <w:rFonts w:ascii="Arial" w:hAnsi="Arial" w:cs="Arial"/>
        </w:rPr>
      </w:pPr>
      <w:r>
        <w:rPr>
          <w:rFonts w:ascii="Arial" w:hAnsi="Arial" w:cs="Arial"/>
        </w:rPr>
        <w:t>Bereits von B gezahlt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0,00 EUR</w:t>
      </w:r>
    </w:p>
    <w:p w14:paraId="40AE1681" w14:textId="77777777" w:rsidR="00B72C74" w:rsidRDefault="00B72C74" w:rsidP="00B72C74">
      <w:pPr>
        <w:jc w:val="both"/>
        <w:rPr>
          <w:rFonts w:ascii="Arial" w:hAnsi="Arial" w:cs="Arial"/>
        </w:rPr>
      </w:pPr>
      <w:r>
        <w:rPr>
          <w:rFonts w:ascii="Arial" w:hAnsi="Arial" w:cs="Arial"/>
        </w:rPr>
        <w:t>Vom Überschuss des K zu verrechnen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36,60 EUR </w:t>
      </w:r>
    </w:p>
    <w:p w14:paraId="71A21A91" w14:textId="77777777" w:rsidR="00B72C74" w:rsidRDefault="00B72C74" w:rsidP="00B72C74">
      <w:pPr>
        <w:jc w:val="both"/>
        <w:rPr>
          <w:rFonts w:ascii="Arial" w:hAnsi="Arial" w:cs="Arial"/>
        </w:rPr>
      </w:pPr>
      <w:r>
        <w:rPr>
          <w:rFonts w:ascii="Arial" w:hAnsi="Arial" w:cs="Arial"/>
        </w:rPr>
        <w:t>Rest: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0,00 EUR </w:t>
      </w:r>
    </w:p>
    <w:p w14:paraId="72E2265B" w14:textId="77777777" w:rsidR="00B72C74" w:rsidRDefault="00B72C74" w:rsidP="00B72C74">
      <w:pPr>
        <w:rPr>
          <w:rFonts w:ascii="Arial" w:hAnsi="Arial" w:cs="Arial"/>
        </w:rPr>
      </w:pPr>
      <w:r w:rsidRPr="0014093C">
        <w:rPr>
          <w:rFonts w:ascii="Arial" w:hAnsi="Arial" w:cs="Arial"/>
        </w:rPr>
        <w:t xml:space="preserve">Alle Kosten sind nun gem. § 9 Abs. 3 </w:t>
      </w:r>
      <w:r w:rsidRPr="00646B31">
        <w:rPr>
          <w:rFonts w:ascii="Arial" w:hAnsi="Arial" w:cs="Arial"/>
        </w:rPr>
        <w:t>Nr. 1</w:t>
      </w:r>
      <w:r w:rsidRPr="0014093C">
        <w:rPr>
          <w:rFonts w:ascii="Arial" w:hAnsi="Arial" w:cs="Arial"/>
        </w:rPr>
        <w:t xml:space="preserve"> GKG fällig. Gem. § 28 Abs. 1 KostVfg </w:t>
      </w:r>
      <w:r>
        <w:rPr>
          <w:rFonts w:ascii="Arial" w:hAnsi="Arial" w:cs="Arial"/>
        </w:rPr>
        <w:t>i</w:t>
      </w:r>
      <w:r w:rsidRPr="0014093C">
        <w:rPr>
          <w:rFonts w:ascii="Arial" w:hAnsi="Arial" w:cs="Arial"/>
        </w:rPr>
        <w:t>st nunmehr eine neue Kostenrechnung</w:t>
      </w:r>
      <w:r>
        <w:rPr>
          <w:rFonts w:ascii="Arial" w:hAnsi="Arial" w:cs="Arial"/>
        </w:rPr>
        <w:t>,</w:t>
      </w:r>
      <w:r w:rsidRPr="0014093C">
        <w:rPr>
          <w:rFonts w:ascii="Arial" w:hAnsi="Arial" w:cs="Arial"/>
        </w:rPr>
        <w:t xml:space="preserve"> die Schlusskostenrechnung, zu erstellen.</w:t>
      </w:r>
      <w:r>
        <w:rPr>
          <w:rFonts w:ascii="Arial" w:hAnsi="Arial" w:cs="Arial"/>
        </w:rPr>
        <w:t xml:space="preserve"> </w:t>
      </w:r>
    </w:p>
    <w:p w14:paraId="68E670A9" w14:textId="77777777" w:rsidR="00B72C74" w:rsidRDefault="00B72C74" w:rsidP="00B72C74">
      <w:pPr>
        <w:rPr>
          <w:rFonts w:ascii="Arial" w:hAnsi="Arial" w:cs="Arial"/>
        </w:rPr>
      </w:pPr>
      <w:r>
        <w:rPr>
          <w:rFonts w:ascii="Arial" w:hAnsi="Arial" w:cs="Arial"/>
        </w:rPr>
        <w:t xml:space="preserve">Kostenschuldner sind gem. § 29 </w:t>
      </w:r>
      <w:r w:rsidRPr="00646B31">
        <w:rPr>
          <w:rFonts w:ascii="Arial" w:hAnsi="Arial" w:cs="Arial"/>
        </w:rPr>
        <w:t xml:space="preserve">Nr. </w:t>
      </w:r>
      <w:r>
        <w:rPr>
          <w:rFonts w:ascii="Arial" w:hAnsi="Arial" w:cs="Arial"/>
        </w:rPr>
        <w:t>1</w:t>
      </w:r>
      <w:r w:rsidRPr="00646B31">
        <w:rPr>
          <w:rFonts w:ascii="Arial" w:hAnsi="Arial" w:cs="Arial"/>
        </w:rPr>
        <w:t xml:space="preserve"> </w:t>
      </w:r>
      <w:r>
        <w:rPr>
          <w:rFonts w:ascii="Arial" w:hAnsi="Arial" w:cs="Arial"/>
        </w:rPr>
        <w:t>GKG der Kläger zu 80% und der Beklagte zu 20% als Entscheidungsschuldner.</w:t>
      </w:r>
    </w:p>
    <w:p w14:paraId="552AEFD1" w14:textId="276B54DA" w:rsidR="00747FF1" w:rsidRPr="00B72C74" w:rsidRDefault="00B72C74">
      <w:pPr>
        <w:rPr>
          <w:rFonts w:ascii="Arial" w:hAnsi="Arial" w:cs="Arial"/>
        </w:rPr>
      </w:pPr>
      <w:r w:rsidRPr="00646B31">
        <w:rPr>
          <w:rFonts w:ascii="Arial" w:hAnsi="Arial" w:cs="Arial"/>
        </w:rPr>
        <w:t xml:space="preserve">Der von dem Kläger, als Antragsschuldner gem. § 22 I </w:t>
      </w:r>
      <w:proofErr w:type="spellStart"/>
      <w:r w:rsidRPr="00646B31">
        <w:rPr>
          <w:rFonts w:ascii="Arial" w:hAnsi="Arial" w:cs="Arial"/>
        </w:rPr>
        <w:t>S.1</w:t>
      </w:r>
      <w:proofErr w:type="spellEnd"/>
      <w:r w:rsidRPr="00646B31">
        <w:rPr>
          <w:rFonts w:ascii="Arial" w:hAnsi="Arial" w:cs="Arial"/>
        </w:rPr>
        <w:t xml:space="preserve"> GKG, geleistete Vorschuss ist</w:t>
      </w:r>
      <w:r>
        <w:rPr>
          <w:rFonts w:ascii="Arial" w:hAnsi="Arial" w:cs="Arial"/>
        </w:rPr>
        <w:t xml:space="preserve"> </w:t>
      </w:r>
      <w:r w:rsidRPr="00646B31">
        <w:rPr>
          <w:rFonts w:ascii="Arial" w:hAnsi="Arial" w:cs="Arial"/>
        </w:rPr>
        <w:t>auf die Kosten de</w:t>
      </w:r>
      <w:r>
        <w:rPr>
          <w:rFonts w:ascii="Arial" w:hAnsi="Arial" w:cs="Arial"/>
        </w:rPr>
        <w:t>s</w:t>
      </w:r>
      <w:r w:rsidRPr="00646B31">
        <w:rPr>
          <w:rFonts w:ascii="Arial" w:hAnsi="Arial" w:cs="Arial"/>
        </w:rPr>
        <w:t xml:space="preserve"> Beklagte</w:t>
      </w:r>
      <w:r>
        <w:rPr>
          <w:rFonts w:ascii="Arial" w:hAnsi="Arial" w:cs="Arial"/>
        </w:rPr>
        <w:t>n</w:t>
      </w:r>
      <w:r w:rsidRPr="00646B31">
        <w:rPr>
          <w:rFonts w:ascii="Arial" w:hAnsi="Arial" w:cs="Arial"/>
        </w:rPr>
        <w:t>, im Rahmen der restlichen Mithaft, zu verrechnen</w:t>
      </w:r>
      <w:r>
        <w:rPr>
          <w:rFonts w:ascii="Arial" w:hAnsi="Arial" w:cs="Arial"/>
        </w:rPr>
        <w:t>. Darüber hinaus gibt es keine offene Restforderung.</w:t>
      </w:r>
    </w:p>
    <w:sectPr w:rsidR="00747FF1" w:rsidRPr="00B72C7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22043"/>
    <w:multiLevelType w:val="hybridMultilevel"/>
    <w:tmpl w:val="BB2AD1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4946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74"/>
    <w:rsid w:val="001D07BF"/>
    <w:rsid w:val="002F3087"/>
    <w:rsid w:val="003457C3"/>
    <w:rsid w:val="00747FF1"/>
    <w:rsid w:val="00B72C74"/>
    <w:rsid w:val="00D60B84"/>
    <w:rsid w:val="00DB34D9"/>
    <w:rsid w:val="00DB5F73"/>
    <w:rsid w:val="00E53144"/>
    <w:rsid w:val="00EC68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64CC"/>
  <w15:chartTrackingRefBased/>
  <w15:docId w15:val="{56F920B6-6BA5-45B4-BC2C-77B8629BC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2C74"/>
    <w:rPr>
      <w:kern w:val="0"/>
      <w14:ligatures w14:val="none"/>
    </w:rPr>
  </w:style>
  <w:style w:type="paragraph" w:styleId="berschrift1">
    <w:name w:val="heading 1"/>
    <w:basedOn w:val="Standard"/>
    <w:next w:val="Standard"/>
    <w:link w:val="berschrift1Zchn"/>
    <w:uiPriority w:val="9"/>
    <w:qFormat/>
    <w:rsid w:val="00B72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72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72C7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72C7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72C7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72C7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72C7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72C7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72C7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2C7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72C7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72C7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72C7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72C7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72C7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72C7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72C7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72C74"/>
    <w:rPr>
      <w:rFonts w:eastAsiaTheme="majorEastAsia" w:cstheme="majorBidi"/>
      <w:color w:val="272727" w:themeColor="text1" w:themeTint="D8"/>
    </w:rPr>
  </w:style>
  <w:style w:type="paragraph" w:styleId="Titel">
    <w:name w:val="Title"/>
    <w:basedOn w:val="Standard"/>
    <w:next w:val="Standard"/>
    <w:link w:val="TitelZchn"/>
    <w:uiPriority w:val="10"/>
    <w:qFormat/>
    <w:rsid w:val="00B72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72C7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72C7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72C7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72C7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72C74"/>
    <w:rPr>
      <w:i/>
      <w:iCs/>
      <w:color w:val="404040" w:themeColor="text1" w:themeTint="BF"/>
    </w:rPr>
  </w:style>
  <w:style w:type="paragraph" w:styleId="Listenabsatz">
    <w:name w:val="List Paragraph"/>
    <w:basedOn w:val="Standard"/>
    <w:uiPriority w:val="34"/>
    <w:qFormat/>
    <w:rsid w:val="00B72C74"/>
    <w:pPr>
      <w:ind w:left="720"/>
      <w:contextualSpacing/>
    </w:pPr>
  </w:style>
  <w:style w:type="character" w:styleId="IntensiveHervorhebung">
    <w:name w:val="Intense Emphasis"/>
    <w:basedOn w:val="Absatz-Standardschriftart"/>
    <w:uiPriority w:val="21"/>
    <w:qFormat/>
    <w:rsid w:val="00B72C74"/>
    <w:rPr>
      <w:i/>
      <w:iCs/>
      <w:color w:val="0F4761" w:themeColor="accent1" w:themeShade="BF"/>
    </w:rPr>
  </w:style>
  <w:style w:type="paragraph" w:styleId="IntensivesZitat">
    <w:name w:val="Intense Quote"/>
    <w:basedOn w:val="Standard"/>
    <w:next w:val="Standard"/>
    <w:link w:val="IntensivesZitatZchn"/>
    <w:uiPriority w:val="30"/>
    <w:qFormat/>
    <w:rsid w:val="00B72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72C74"/>
    <w:rPr>
      <w:i/>
      <w:iCs/>
      <w:color w:val="0F4761" w:themeColor="accent1" w:themeShade="BF"/>
    </w:rPr>
  </w:style>
  <w:style w:type="character" w:styleId="IntensiverVerweis">
    <w:name w:val="Intense Reference"/>
    <w:basedOn w:val="Absatz-Standardschriftart"/>
    <w:uiPriority w:val="32"/>
    <w:qFormat/>
    <w:rsid w:val="00B72C74"/>
    <w:rPr>
      <w:b/>
      <w:bCs/>
      <w:smallCaps/>
      <w:color w:val="0F4761" w:themeColor="accent1" w:themeShade="BF"/>
      <w:spacing w:val="5"/>
    </w:rPr>
  </w:style>
  <w:style w:type="table" w:styleId="Tabellenraster">
    <w:name w:val="Table Grid"/>
    <w:basedOn w:val="NormaleTabelle"/>
    <w:uiPriority w:val="39"/>
    <w:rsid w:val="00B72C7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1801</Characters>
  <Application>Microsoft Office Word</Application>
  <DocSecurity>0</DocSecurity>
  <Lines>15</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Luckey, Nina</dc:creator>
  <cp:keywords/>
  <dc:description/>
  <cp:lastModifiedBy>Luckey, Nina</cp:lastModifiedBy>
  <cp:revision>1</cp:revision>
  <dcterms:created xsi:type="dcterms:W3CDTF">2025-11-12T11:48:00Z</dcterms:created>
  <dcterms:modified xsi:type="dcterms:W3CDTF">2025-11-12T11:48:00Z</dcterms:modified>
</cp:coreProperties>
</file>