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66FB" w14:textId="0F8C6478" w:rsidR="00EE07B1" w:rsidRPr="00D53E0F" w:rsidRDefault="00EE07B1" w:rsidP="00EE07B1">
      <w:pPr>
        <w:spacing w:line="240" w:lineRule="auto"/>
        <w:rPr>
          <w:rFonts w:eastAsia="Times New Roman"/>
          <w:b/>
          <w:bCs/>
          <w:sz w:val="30"/>
          <w:szCs w:val="30"/>
        </w:rPr>
      </w:pPr>
      <w:r w:rsidRPr="00D53E0F">
        <w:rPr>
          <w:rFonts w:eastAsia="Times New Roman"/>
          <w:b/>
          <w:bCs/>
          <w:sz w:val="30"/>
          <w:szCs w:val="30"/>
        </w:rPr>
        <w:t xml:space="preserve"> Ausschluss aus der Erbfolge </w:t>
      </w:r>
    </w:p>
    <w:p w14:paraId="40B59821" w14:textId="77777777" w:rsidR="00EE07B1" w:rsidRPr="00D53E0F" w:rsidRDefault="00EE07B1" w:rsidP="00EE07B1">
      <w:pPr>
        <w:spacing w:line="240" w:lineRule="auto"/>
        <w:rPr>
          <w:rFonts w:eastAsia="Times New Roman"/>
          <w:bCs/>
          <w:sz w:val="24"/>
          <w:szCs w:val="24"/>
        </w:rPr>
      </w:pPr>
    </w:p>
    <w:p w14:paraId="119A07E0"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 xml:space="preserve">Enterbung </w:t>
      </w:r>
      <w:r w:rsidRPr="00D53E0F">
        <w:rPr>
          <w:rFonts w:eastAsia="Times New Roman"/>
          <w:bCs/>
          <w:sz w:val="24"/>
          <w:szCs w:val="24"/>
        </w:rPr>
        <w:t>§ 1938 BGB</w:t>
      </w:r>
    </w:p>
    <w:p w14:paraId="5D2CE6B4" w14:textId="77777777" w:rsidR="00EE07B1" w:rsidRPr="00D53E0F" w:rsidRDefault="00EE07B1" w:rsidP="00EE07B1">
      <w:pPr>
        <w:spacing w:line="240" w:lineRule="auto"/>
        <w:rPr>
          <w:rFonts w:eastAsia="Times New Roman"/>
          <w:b/>
          <w:bCs/>
          <w:sz w:val="24"/>
          <w:szCs w:val="24"/>
        </w:rPr>
      </w:pPr>
    </w:p>
    <w:p w14:paraId="1E9B686D" w14:textId="77777777" w:rsidR="00EE07B1" w:rsidRPr="00D53E0F" w:rsidRDefault="00EE07B1" w:rsidP="00EE07B1">
      <w:pPr>
        <w:numPr>
          <w:ilvl w:val="0"/>
          <w:numId w:val="1"/>
        </w:numPr>
        <w:spacing w:line="240" w:lineRule="auto"/>
        <w:ind w:left="426"/>
        <w:rPr>
          <w:rFonts w:eastAsia="Times New Roman"/>
          <w:bCs/>
          <w:sz w:val="24"/>
          <w:szCs w:val="24"/>
        </w:rPr>
      </w:pPr>
      <w:r w:rsidRPr="00D53E0F">
        <w:rPr>
          <w:rFonts w:eastAsia="Times New Roman"/>
          <w:bCs/>
          <w:sz w:val="24"/>
          <w:szCs w:val="24"/>
        </w:rPr>
        <w:t>gesetzlicher Erbe ist aus der Erbfolge raus, kann aber seinen Pflichtteil geltend machen</w:t>
      </w:r>
    </w:p>
    <w:p w14:paraId="4B01D9B1" w14:textId="77777777" w:rsidR="00EE07B1" w:rsidRPr="00D53E0F" w:rsidRDefault="00EE07B1" w:rsidP="00EE07B1">
      <w:pPr>
        <w:spacing w:line="240" w:lineRule="auto"/>
        <w:rPr>
          <w:rFonts w:eastAsia="Times New Roman"/>
          <w:bCs/>
          <w:sz w:val="24"/>
          <w:szCs w:val="24"/>
        </w:rPr>
      </w:pPr>
    </w:p>
    <w:p w14:paraId="210928B4" w14:textId="01C2E5AB"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Erbunwürdig</w:t>
      </w:r>
      <w:r w:rsidR="00223786">
        <w:rPr>
          <w:rFonts w:eastAsia="Times New Roman"/>
          <w:b/>
          <w:bCs/>
          <w:sz w:val="24"/>
          <w:szCs w:val="24"/>
        </w:rPr>
        <w:t>keit</w:t>
      </w:r>
      <w:r w:rsidRPr="00D53E0F">
        <w:rPr>
          <w:rFonts w:eastAsia="Times New Roman"/>
          <w:b/>
          <w:bCs/>
          <w:sz w:val="24"/>
          <w:szCs w:val="24"/>
        </w:rPr>
        <w:t xml:space="preserve"> </w:t>
      </w:r>
      <w:r w:rsidRPr="00D53E0F">
        <w:rPr>
          <w:rFonts w:eastAsia="Times New Roman"/>
          <w:bCs/>
          <w:sz w:val="24"/>
          <w:szCs w:val="24"/>
        </w:rPr>
        <w:t>§ 2339 BGB</w:t>
      </w:r>
    </w:p>
    <w:p w14:paraId="776B4D37" w14:textId="77777777" w:rsidR="00EE07B1" w:rsidRPr="00D53E0F" w:rsidRDefault="00EE07B1" w:rsidP="00EE07B1">
      <w:pPr>
        <w:spacing w:line="240" w:lineRule="auto"/>
        <w:rPr>
          <w:rFonts w:eastAsia="Times New Roman"/>
          <w:bCs/>
          <w:sz w:val="24"/>
          <w:szCs w:val="24"/>
          <w:u w:val="single"/>
        </w:rPr>
      </w:pPr>
    </w:p>
    <w:p w14:paraId="6A7E304A" w14:textId="77777777" w:rsidR="00EE07B1" w:rsidRPr="00D53E0F" w:rsidRDefault="00EE07B1" w:rsidP="00EE07B1">
      <w:pPr>
        <w:numPr>
          <w:ilvl w:val="0"/>
          <w:numId w:val="1"/>
        </w:numPr>
        <w:spacing w:line="240" w:lineRule="auto"/>
        <w:ind w:left="426"/>
        <w:rPr>
          <w:rFonts w:eastAsia="Times New Roman"/>
          <w:bCs/>
          <w:sz w:val="24"/>
          <w:szCs w:val="24"/>
        </w:rPr>
      </w:pPr>
      <w:r w:rsidRPr="00D53E0F">
        <w:rPr>
          <w:rFonts w:eastAsia="Times New Roman"/>
          <w:bCs/>
          <w:sz w:val="24"/>
          <w:szCs w:val="24"/>
        </w:rPr>
        <w:t xml:space="preserve">wird die Erbunwürdigkeit durch Anfechtungsklage festgestellt, wird die vorherige Erbenstellung beseitigt </w:t>
      </w:r>
      <w:r w:rsidRPr="00D53E0F">
        <w:rPr>
          <w:rFonts w:eastAsia="Times New Roman" w:cs="Arial"/>
          <w:bCs/>
          <w:sz w:val="24"/>
          <w:szCs w:val="24"/>
        </w:rPr>
        <w:t>→</w:t>
      </w:r>
      <w:r w:rsidRPr="00D53E0F">
        <w:rPr>
          <w:rFonts w:eastAsia="Times New Roman"/>
          <w:bCs/>
          <w:sz w:val="24"/>
          <w:szCs w:val="24"/>
        </w:rPr>
        <w:t xml:space="preserve"> die Erbunwürdigkeit muss nachgewiesen und festgestellt werden</w:t>
      </w:r>
    </w:p>
    <w:p w14:paraId="060F63B9" w14:textId="77777777" w:rsidR="00EE07B1" w:rsidRPr="00D53E0F" w:rsidRDefault="00EE07B1" w:rsidP="00EE07B1">
      <w:pPr>
        <w:numPr>
          <w:ilvl w:val="0"/>
          <w:numId w:val="1"/>
        </w:numPr>
        <w:spacing w:line="240" w:lineRule="auto"/>
        <w:ind w:left="426"/>
        <w:rPr>
          <w:rFonts w:eastAsia="Times New Roman"/>
          <w:bCs/>
          <w:sz w:val="24"/>
          <w:szCs w:val="24"/>
        </w:rPr>
      </w:pPr>
      <w:r w:rsidRPr="00D53E0F">
        <w:rPr>
          <w:rFonts w:eastAsia="Times New Roman"/>
          <w:bCs/>
          <w:sz w:val="24"/>
          <w:szCs w:val="24"/>
        </w:rPr>
        <w:t>Gründe für eine Erbunwürdigkeit:  § 2339 BGB</w:t>
      </w:r>
    </w:p>
    <w:p w14:paraId="177165B5" w14:textId="77777777" w:rsidR="00EE07B1" w:rsidRPr="00D53E0F" w:rsidRDefault="00EE07B1" w:rsidP="00EE07B1">
      <w:pPr>
        <w:numPr>
          <w:ilvl w:val="0"/>
          <w:numId w:val="1"/>
        </w:numPr>
        <w:spacing w:line="240" w:lineRule="auto"/>
        <w:ind w:left="426"/>
        <w:rPr>
          <w:rFonts w:eastAsia="Times New Roman"/>
          <w:bCs/>
          <w:sz w:val="24"/>
          <w:szCs w:val="24"/>
        </w:rPr>
      </w:pPr>
      <w:r w:rsidRPr="00D53E0F">
        <w:rPr>
          <w:rFonts w:eastAsia="Times New Roman"/>
          <w:bCs/>
          <w:sz w:val="24"/>
          <w:szCs w:val="24"/>
        </w:rPr>
        <w:t xml:space="preserve">hat der Erblasser den Erben verziehen </w:t>
      </w:r>
      <w:r w:rsidRPr="00D53E0F">
        <w:rPr>
          <w:rFonts w:eastAsia="Times New Roman" w:cs="Arial"/>
          <w:bCs/>
          <w:sz w:val="24"/>
          <w:szCs w:val="24"/>
        </w:rPr>
        <w:t>→</w:t>
      </w:r>
      <w:r w:rsidRPr="00D53E0F">
        <w:rPr>
          <w:rFonts w:eastAsia="Times New Roman"/>
          <w:bCs/>
          <w:sz w:val="24"/>
          <w:szCs w:val="24"/>
        </w:rPr>
        <w:t xml:space="preserve"> Anfechtung ausgeschlossen (§ 2343 BGB)</w:t>
      </w:r>
    </w:p>
    <w:p w14:paraId="74579EC0" w14:textId="3484D7BB" w:rsidR="00EE07B1" w:rsidRPr="00D53E0F" w:rsidRDefault="006A450E" w:rsidP="00EE07B1">
      <w:pPr>
        <w:numPr>
          <w:ilvl w:val="0"/>
          <w:numId w:val="1"/>
        </w:numPr>
        <w:spacing w:line="240" w:lineRule="auto"/>
        <w:ind w:left="426"/>
        <w:rPr>
          <w:rFonts w:eastAsia="Times New Roman"/>
          <w:bCs/>
          <w:sz w:val="24"/>
          <w:szCs w:val="24"/>
        </w:rPr>
      </w:pPr>
      <w:r>
        <w:rPr>
          <w:rFonts w:eastAsia="Times New Roman"/>
          <w:bCs/>
          <w:sz w:val="24"/>
          <w:szCs w:val="24"/>
        </w:rPr>
        <w:t>k</w:t>
      </w:r>
      <w:r w:rsidR="00EE07B1" w:rsidRPr="00D53E0F">
        <w:rPr>
          <w:rFonts w:eastAsia="Times New Roman"/>
          <w:bCs/>
          <w:sz w:val="24"/>
          <w:szCs w:val="24"/>
        </w:rPr>
        <w:t xml:space="preserve">lageberechtigt ist jeder, dem der Wegfall des Erbunwürdigen </w:t>
      </w:r>
      <w:r w:rsidRPr="00D53E0F">
        <w:rPr>
          <w:rFonts w:eastAsia="Times New Roman"/>
          <w:bCs/>
          <w:sz w:val="24"/>
          <w:szCs w:val="24"/>
        </w:rPr>
        <w:t>zugutekommt</w:t>
      </w:r>
    </w:p>
    <w:p w14:paraId="4FFF3881" w14:textId="77777777" w:rsidR="00EE07B1" w:rsidRDefault="00EE07B1" w:rsidP="00EE07B1">
      <w:pPr>
        <w:spacing w:line="240" w:lineRule="auto"/>
        <w:rPr>
          <w:rFonts w:eastAsia="Times New Roman"/>
          <w:bCs/>
          <w:sz w:val="24"/>
          <w:szCs w:val="24"/>
        </w:rPr>
      </w:pPr>
    </w:p>
    <w:p w14:paraId="0D2798B0" w14:textId="77777777" w:rsidR="00EE07B1" w:rsidRPr="00D53E0F" w:rsidRDefault="00EE07B1" w:rsidP="00EE07B1">
      <w:pPr>
        <w:spacing w:line="240" w:lineRule="auto"/>
        <w:rPr>
          <w:rFonts w:eastAsia="Times New Roman"/>
          <w:bCs/>
          <w:sz w:val="24"/>
          <w:szCs w:val="24"/>
        </w:rPr>
      </w:pPr>
    </w:p>
    <w:p w14:paraId="43195A06"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 xml:space="preserve">Erbverzicht </w:t>
      </w:r>
      <w:r w:rsidRPr="00D53E0F">
        <w:rPr>
          <w:rFonts w:eastAsia="Times New Roman"/>
          <w:bCs/>
          <w:sz w:val="24"/>
          <w:szCs w:val="24"/>
        </w:rPr>
        <w:t>§§ 2346 BGB ff.</w:t>
      </w:r>
    </w:p>
    <w:p w14:paraId="3E9F79F6" w14:textId="77777777" w:rsidR="00EE07B1" w:rsidRPr="00D53E0F" w:rsidRDefault="00EE07B1" w:rsidP="00EE07B1">
      <w:pPr>
        <w:spacing w:line="240" w:lineRule="auto"/>
        <w:rPr>
          <w:rFonts w:eastAsia="Times New Roman"/>
          <w:bCs/>
          <w:sz w:val="24"/>
          <w:szCs w:val="24"/>
          <w:u w:val="single"/>
        </w:rPr>
      </w:pPr>
    </w:p>
    <w:p w14:paraId="0716ADC9" w14:textId="77777777" w:rsidR="00EE07B1" w:rsidRPr="00D53E0F" w:rsidRDefault="00EE07B1" w:rsidP="00EE07B1">
      <w:pPr>
        <w:numPr>
          <w:ilvl w:val="0"/>
          <w:numId w:val="2"/>
        </w:numPr>
        <w:spacing w:line="240" w:lineRule="auto"/>
        <w:ind w:left="426"/>
        <w:rPr>
          <w:rFonts w:eastAsia="Times New Roman"/>
          <w:bCs/>
          <w:sz w:val="24"/>
          <w:szCs w:val="24"/>
        </w:rPr>
      </w:pPr>
      <w:r w:rsidRPr="00D53E0F">
        <w:rPr>
          <w:rFonts w:eastAsia="Times New Roman"/>
          <w:bCs/>
          <w:sz w:val="24"/>
          <w:szCs w:val="24"/>
        </w:rPr>
        <w:t>der Verzichtende ist von der gesetzlichen Erbfolge ausgeschlossen</w:t>
      </w:r>
    </w:p>
    <w:p w14:paraId="0C159C37" w14:textId="77777777" w:rsidR="00EE07B1" w:rsidRPr="00D53E0F" w:rsidRDefault="00EE07B1" w:rsidP="00EE07B1">
      <w:pPr>
        <w:numPr>
          <w:ilvl w:val="0"/>
          <w:numId w:val="2"/>
        </w:numPr>
        <w:spacing w:line="240" w:lineRule="auto"/>
        <w:ind w:left="426"/>
        <w:rPr>
          <w:rFonts w:eastAsia="Times New Roman"/>
          <w:bCs/>
          <w:sz w:val="24"/>
          <w:szCs w:val="24"/>
        </w:rPr>
      </w:pPr>
      <w:r w:rsidRPr="00D53E0F">
        <w:rPr>
          <w:rFonts w:eastAsia="Times New Roman"/>
          <w:bCs/>
          <w:sz w:val="24"/>
          <w:szCs w:val="24"/>
        </w:rPr>
        <w:t>ein Vertrag, der vom Notar beurkundet wird (§ 2348 BGB)</w:t>
      </w:r>
    </w:p>
    <w:p w14:paraId="34169331" w14:textId="77777777" w:rsidR="00EE07B1" w:rsidRPr="00D53E0F" w:rsidRDefault="00EE07B1" w:rsidP="00EE07B1">
      <w:pPr>
        <w:numPr>
          <w:ilvl w:val="0"/>
          <w:numId w:val="2"/>
        </w:numPr>
        <w:spacing w:line="240" w:lineRule="auto"/>
        <w:ind w:left="426"/>
        <w:rPr>
          <w:rFonts w:eastAsia="Times New Roman"/>
          <w:bCs/>
          <w:sz w:val="24"/>
          <w:szCs w:val="24"/>
        </w:rPr>
      </w:pPr>
      <w:r w:rsidRPr="00D53E0F">
        <w:rPr>
          <w:rFonts w:eastAsia="Times New Roman"/>
          <w:bCs/>
          <w:sz w:val="24"/>
          <w:szCs w:val="24"/>
        </w:rPr>
        <w:t>der Verzicht erstreckt sich auch auf die Nachkommen (§ 2349 BGB)</w:t>
      </w:r>
    </w:p>
    <w:p w14:paraId="611994E4" w14:textId="77777777" w:rsidR="00EE07B1" w:rsidRPr="00D53E0F" w:rsidRDefault="00EE07B1" w:rsidP="00EE07B1">
      <w:pPr>
        <w:numPr>
          <w:ilvl w:val="0"/>
          <w:numId w:val="2"/>
        </w:numPr>
        <w:spacing w:line="240" w:lineRule="auto"/>
        <w:ind w:left="426"/>
        <w:rPr>
          <w:rFonts w:eastAsia="Times New Roman"/>
          <w:bCs/>
          <w:sz w:val="24"/>
          <w:szCs w:val="24"/>
        </w:rPr>
      </w:pPr>
      <w:r w:rsidRPr="00D53E0F">
        <w:rPr>
          <w:rFonts w:eastAsia="Times New Roman"/>
          <w:bCs/>
          <w:sz w:val="24"/>
          <w:szCs w:val="24"/>
        </w:rPr>
        <w:t>kann auf sein Pflichtteilsrecht beschränkt werden</w:t>
      </w:r>
    </w:p>
    <w:p w14:paraId="2D71E3B8" w14:textId="77777777" w:rsidR="00EE07B1" w:rsidRPr="00D53E0F" w:rsidRDefault="00EE07B1" w:rsidP="00EE07B1">
      <w:pPr>
        <w:spacing w:line="240" w:lineRule="auto"/>
        <w:rPr>
          <w:rFonts w:eastAsia="Times New Roman"/>
          <w:bCs/>
          <w:sz w:val="24"/>
          <w:szCs w:val="24"/>
        </w:rPr>
      </w:pPr>
    </w:p>
    <w:p w14:paraId="0539CB1C"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 xml:space="preserve">Ausschlagung </w:t>
      </w:r>
      <w:r w:rsidRPr="00D53E0F">
        <w:rPr>
          <w:rFonts w:eastAsia="Times New Roman"/>
          <w:bCs/>
          <w:sz w:val="24"/>
          <w:szCs w:val="24"/>
        </w:rPr>
        <w:t>§§ 1942 BGB ff.</w:t>
      </w:r>
    </w:p>
    <w:p w14:paraId="1531ACAB" w14:textId="77777777" w:rsidR="00EE07B1" w:rsidRPr="00D53E0F" w:rsidRDefault="00EE07B1" w:rsidP="00EE07B1">
      <w:pPr>
        <w:spacing w:line="240" w:lineRule="auto"/>
        <w:rPr>
          <w:rFonts w:eastAsia="Times New Roman"/>
          <w:bCs/>
          <w:sz w:val="24"/>
          <w:szCs w:val="24"/>
        </w:rPr>
      </w:pPr>
    </w:p>
    <w:p w14:paraId="2DB9D824" w14:textId="77777777" w:rsidR="00EE07B1" w:rsidRPr="00D53E0F" w:rsidRDefault="00EE07B1" w:rsidP="00EE07B1">
      <w:pPr>
        <w:numPr>
          <w:ilvl w:val="0"/>
          <w:numId w:val="3"/>
        </w:numPr>
        <w:spacing w:line="240" w:lineRule="auto"/>
        <w:ind w:left="426"/>
        <w:rPr>
          <w:rFonts w:eastAsia="Times New Roman"/>
          <w:bCs/>
          <w:sz w:val="24"/>
          <w:szCs w:val="24"/>
        </w:rPr>
      </w:pPr>
      <w:r w:rsidRPr="00D53E0F">
        <w:rPr>
          <w:rFonts w:eastAsia="Times New Roman"/>
          <w:bCs/>
          <w:sz w:val="24"/>
          <w:szCs w:val="24"/>
        </w:rPr>
        <w:t>wenn der Erbe die Erbschaft nicht annehmen will (z.B. wegen Überschuldung), kann er diese ausschlagen (§ 1942 BGB)</w:t>
      </w:r>
    </w:p>
    <w:p w14:paraId="4DA5A383" w14:textId="77777777" w:rsidR="00EE07B1" w:rsidRPr="00D53E0F" w:rsidRDefault="00EE07B1" w:rsidP="00EE07B1">
      <w:pPr>
        <w:numPr>
          <w:ilvl w:val="0"/>
          <w:numId w:val="3"/>
        </w:numPr>
        <w:spacing w:line="240" w:lineRule="auto"/>
        <w:ind w:left="426"/>
        <w:rPr>
          <w:rFonts w:eastAsia="Times New Roman"/>
          <w:bCs/>
          <w:sz w:val="24"/>
          <w:szCs w:val="24"/>
        </w:rPr>
      </w:pPr>
      <w:r w:rsidRPr="00D53E0F">
        <w:rPr>
          <w:rFonts w:eastAsia="Times New Roman"/>
          <w:bCs/>
          <w:sz w:val="24"/>
          <w:szCs w:val="24"/>
        </w:rPr>
        <w:t>wenn der Erbe, die Erbschaft ausgeschlagen hat, kann er sie nicht mehr annehmen und umgekehrt (§ 1943 BGB)</w:t>
      </w:r>
    </w:p>
    <w:p w14:paraId="667EA889" w14:textId="77777777" w:rsidR="00EE07B1" w:rsidRPr="00D53E0F" w:rsidRDefault="00EE07B1" w:rsidP="00EE07B1">
      <w:pPr>
        <w:numPr>
          <w:ilvl w:val="0"/>
          <w:numId w:val="3"/>
        </w:numPr>
        <w:spacing w:line="240" w:lineRule="auto"/>
        <w:ind w:left="426"/>
        <w:rPr>
          <w:rFonts w:eastAsia="Times New Roman"/>
          <w:bCs/>
          <w:sz w:val="24"/>
          <w:szCs w:val="24"/>
        </w:rPr>
      </w:pPr>
      <w:r w:rsidRPr="00D53E0F">
        <w:rPr>
          <w:rFonts w:eastAsia="Times New Roman"/>
          <w:bCs/>
          <w:sz w:val="24"/>
          <w:szCs w:val="24"/>
        </w:rPr>
        <w:t xml:space="preserve">die Erklärung muss persönlich abgegeben werden, nur eine </w:t>
      </w:r>
      <w:r w:rsidRPr="00D53E0F">
        <w:rPr>
          <w:rFonts w:eastAsia="Times New Roman"/>
          <w:bCs/>
          <w:sz w:val="24"/>
          <w:szCs w:val="24"/>
          <w:u w:val="single"/>
        </w:rPr>
        <w:t>notarielle</w:t>
      </w:r>
      <w:r w:rsidRPr="00D53E0F">
        <w:rPr>
          <w:rFonts w:eastAsia="Times New Roman"/>
          <w:bCs/>
          <w:sz w:val="24"/>
          <w:szCs w:val="24"/>
        </w:rPr>
        <w:t xml:space="preserve"> Vollmacht wäre möglich (§ 1945 (3) 1. BGB)</w:t>
      </w:r>
    </w:p>
    <w:p w14:paraId="241488B5" w14:textId="77777777" w:rsidR="00EE07B1" w:rsidRPr="00D53E0F" w:rsidRDefault="00EE07B1" w:rsidP="00EE07B1">
      <w:pPr>
        <w:spacing w:line="240" w:lineRule="auto"/>
        <w:rPr>
          <w:rFonts w:eastAsia="Times New Roman"/>
          <w:bCs/>
          <w:sz w:val="24"/>
          <w:szCs w:val="24"/>
        </w:rPr>
      </w:pPr>
    </w:p>
    <w:p w14:paraId="42CD41AC" w14:textId="77777777"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Ausschlagungsfrist:</w:t>
      </w:r>
    </w:p>
    <w:p w14:paraId="575D4CFB" w14:textId="77777777" w:rsidR="00EE07B1" w:rsidRPr="00D53E0F" w:rsidRDefault="00EE07B1" w:rsidP="00EE07B1">
      <w:pPr>
        <w:numPr>
          <w:ilvl w:val="0"/>
          <w:numId w:val="4"/>
        </w:numPr>
        <w:spacing w:line="240" w:lineRule="auto"/>
        <w:ind w:left="426"/>
        <w:rPr>
          <w:rFonts w:eastAsia="Times New Roman"/>
          <w:bCs/>
          <w:sz w:val="24"/>
          <w:szCs w:val="24"/>
        </w:rPr>
      </w:pPr>
      <w:r w:rsidRPr="00D53E0F">
        <w:rPr>
          <w:rFonts w:eastAsia="Times New Roman"/>
          <w:bCs/>
          <w:sz w:val="24"/>
          <w:szCs w:val="24"/>
        </w:rPr>
        <w:t>6 Wochen (§1944 (1) BGB)</w:t>
      </w:r>
    </w:p>
    <w:p w14:paraId="315F2FCC" w14:textId="77777777" w:rsidR="00EE07B1" w:rsidRPr="00D53E0F" w:rsidRDefault="00EE07B1" w:rsidP="00EE07B1">
      <w:pPr>
        <w:numPr>
          <w:ilvl w:val="0"/>
          <w:numId w:val="4"/>
        </w:numPr>
        <w:spacing w:line="240" w:lineRule="auto"/>
        <w:ind w:left="426"/>
        <w:rPr>
          <w:rFonts w:eastAsia="Times New Roman"/>
          <w:bCs/>
          <w:sz w:val="24"/>
          <w:szCs w:val="24"/>
        </w:rPr>
      </w:pPr>
      <w:r w:rsidRPr="00D53E0F">
        <w:rPr>
          <w:rFonts w:eastAsia="Times New Roman"/>
          <w:bCs/>
          <w:sz w:val="24"/>
          <w:szCs w:val="24"/>
        </w:rPr>
        <w:t>6 Monate, wenn der Erblasser oder Erbe sich im Ausland befindet (§ 1944 (3) BGB)</w:t>
      </w:r>
    </w:p>
    <w:p w14:paraId="2BB96D31" w14:textId="77777777" w:rsidR="00EE07B1" w:rsidRPr="00D53E0F" w:rsidRDefault="00EE07B1" w:rsidP="00EE07B1">
      <w:pPr>
        <w:numPr>
          <w:ilvl w:val="0"/>
          <w:numId w:val="4"/>
        </w:numPr>
        <w:spacing w:line="240" w:lineRule="auto"/>
        <w:ind w:left="426"/>
        <w:rPr>
          <w:rFonts w:eastAsia="Times New Roman"/>
          <w:bCs/>
          <w:sz w:val="24"/>
          <w:szCs w:val="24"/>
        </w:rPr>
      </w:pPr>
      <w:r w:rsidRPr="00D53E0F">
        <w:rPr>
          <w:rFonts w:eastAsia="Times New Roman"/>
          <w:bCs/>
          <w:sz w:val="24"/>
          <w:szCs w:val="24"/>
        </w:rPr>
        <w:t>die Frist beginnt ab Kenntnisnahme der Berufung zur Erbschaft (unabhängig wodurch)</w:t>
      </w:r>
    </w:p>
    <w:p w14:paraId="039EC09A" w14:textId="77777777" w:rsidR="00EE07B1" w:rsidRPr="00D53E0F" w:rsidRDefault="00EE07B1" w:rsidP="00EE07B1">
      <w:pPr>
        <w:numPr>
          <w:ilvl w:val="0"/>
          <w:numId w:val="4"/>
        </w:numPr>
        <w:spacing w:line="240" w:lineRule="auto"/>
        <w:ind w:left="426"/>
        <w:rPr>
          <w:rFonts w:eastAsia="Times New Roman"/>
          <w:bCs/>
          <w:sz w:val="24"/>
          <w:szCs w:val="24"/>
        </w:rPr>
      </w:pPr>
      <w:r w:rsidRPr="00D53E0F">
        <w:rPr>
          <w:rFonts w:eastAsia="Times New Roman"/>
          <w:bCs/>
          <w:sz w:val="24"/>
          <w:szCs w:val="24"/>
        </w:rPr>
        <w:t>bei der gewillkürten Erbfolge, ab Bekanntgabe der Verfügung von Todes wegen (§ 1944 (2) BGB)</w:t>
      </w:r>
    </w:p>
    <w:p w14:paraId="7C4F9894" w14:textId="77777777" w:rsidR="00EE07B1" w:rsidRDefault="00EE07B1" w:rsidP="00EE07B1">
      <w:pPr>
        <w:numPr>
          <w:ilvl w:val="0"/>
          <w:numId w:val="4"/>
        </w:numPr>
        <w:spacing w:line="240" w:lineRule="auto"/>
        <w:ind w:left="426"/>
        <w:rPr>
          <w:rFonts w:eastAsia="Times New Roman"/>
          <w:bCs/>
          <w:sz w:val="24"/>
          <w:szCs w:val="24"/>
        </w:rPr>
      </w:pPr>
      <w:r w:rsidRPr="00D53E0F">
        <w:rPr>
          <w:rFonts w:eastAsia="Times New Roman"/>
          <w:bCs/>
          <w:sz w:val="24"/>
          <w:szCs w:val="24"/>
        </w:rPr>
        <w:t>vor dem Todesfall ist keine Ausschlagungserklärung möglich (§ 1946 BGB)</w:t>
      </w:r>
    </w:p>
    <w:p w14:paraId="149D4E4B" w14:textId="77777777" w:rsidR="00EE07B1" w:rsidRDefault="00EE07B1" w:rsidP="00EE07B1">
      <w:pPr>
        <w:numPr>
          <w:ilvl w:val="0"/>
          <w:numId w:val="4"/>
        </w:numPr>
        <w:spacing w:line="240" w:lineRule="auto"/>
        <w:ind w:left="426"/>
        <w:rPr>
          <w:rFonts w:eastAsia="Times New Roman"/>
          <w:bCs/>
          <w:sz w:val="24"/>
          <w:szCs w:val="24"/>
        </w:rPr>
      </w:pPr>
      <w:r>
        <w:rPr>
          <w:rFonts w:eastAsia="Times New Roman"/>
          <w:bCs/>
          <w:sz w:val="24"/>
          <w:szCs w:val="24"/>
        </w:rPr>
        <w:t>ist eine Ausschlussfrist, sie ist daher entweder eingehalten oder nicht</w:t>
      </w:r>
    </w:p>
    <w:p w14:paraId="71D155B4" w14:textId="77777777" w:rsidR="00EE07B1" w:rsidRPr="00D53E0F" w:rsidRDefault="00EE07B1" w:rsidP="00EE07B1">
      <w:pPr>
        <w:numPr>
          <w:ilvl w:val="0"/>
          <w:numId w:val="4"/>
        </w:numPr>
        <w:spacing w:line="240" w:lineRule="auto"/>
        <w:ind w:left="426"/>
        <w:rPr>
          <w:rFonts w:eastAsia="Times New Roman"/>
          <w:bCs/>
          <w:sz w:val="24"/>
          <w:szCs w:val="24"/>
        </w:rPr>
      </w:pPr>
      <w:r>
        <w:rPr>
          <w:rFonts w:eastAsia="Times New Roman"/>
          <w:bCs/>
          <w:sz w:val="24"/>
          <w:szCs w:val="24"/>
        </w:rPr>
        <w:t>eine Fristverlängerung oder Wiedereinsetzung in den vorigen Stand scheidet somit aus</w:t>
      </w:r>
    </w:p>
    <w:p w14:paraId="06D1DF04" w14:textId="77777777" w:rsidR="00EE07B1" w:rsidRPr="00D53E0F" w:rsidRDefault="00EE07B1" w:rsidP="00EE07B1">
      <w:pPr>
        <w:spacing w:line="240" w:lineRule="auto"/>
        <w:rPr>
          <w:rFonts w:eastAsia="Times New Roman"/>
          <w:bCs/>
          <w:sz w:val="24"/>
          <w:szCs w:val="24"/>
        </w:rPr>
      </w:pPr>
    </w:p>
    <w:p w14:paraId="3C656369" w14:textId="77777777"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Abgabe der Ausschlagungserklärung</w:t>
      </w:r>
    </w:p>
    <w:p w14:paraId="18A38D83" w14:textId="77777777" w:rsidR="00EE07B1" w:rsidRPr="00D53E0F" w:rsidRDefault="00EE07B1" w:rsidP="00EE07B1">
      <w:pPr>
        <w:numPr>
          <w:ilvl w:val="0"/>
          <w:numId w:val="5"/>
        </w:numPr>
        <w:spacing w:line="240" w:lineRule="auto"/>
        <w:ind w:left="426"/>
        <w:rPr>
          <w:rFonts w:eastAsia="Times New Roman"/>
          <w:bCs/>
          <w:sz w:val="24"/>
          <w:szCs w:val="24"/>
        </w:rPr>
      </w:pPr>
      <w:r w:rsidRPr="00D53E0F">
        <w:rPr>
          <w:rFonts w:eastAsia="Times New Roman"/>
          <w:bCs/>
          <w:sz w:val="24"/>
          <w:szCs w:val="24"/>
        </w:rPr>
        <w:t xml:space="preserve">beim zuständigen Nachlassgericht </w:t>
      </w:r>
    </w:p>
    <w:p w14:paraId="55789050" w14:textId="77777777" w:rsidR="00EE07B1" w:rsidRPr="00D53E0F" w:rsidRDefault="00EE07B1" w:rsidP="00EE07B1">
      <w:pPr>
        <w:numPr>
          <w:ilvl w:val="0"/>
          <w:numId w:val="5"/>
        </w:numPr>
        <w:spacing w:line="240" w:lineRule="auto"/>
        <w:ind w:left="426"/>
        <w:rPr>
          <w:rFonts w:eastAsia="Times New Roman"/>
          <w:bCs/>
          <w:sz w:val="24"/>
          <w:szCs w:val="24"/>
        </w:rPr>
      </w:pPr>
      <w:r w:rsidRPr="00D53E0F">
        <w:rPr>
          <w:rFonts w:eastAsia="Times New Roman"/>
          <w:bCs/>
          <w:sz w:val="24"/>
          <w:szCs w:val="24"/>
        </w:rPr>
        <w:t>vor einem Notar (§ 1945 (1) BGB) oder</w:t>
      </w:r>
    </w:p>
    <w:p w14:paraId="0D452FF9" w14:textId="39B3DC25" w:rsidR="00EE07B1" w:rsidRPr="00D53E0F" w:rsidRDefault="00EE07B1" w:rsidP="00EE07B1">
      <w:pPr>
        <w:numPr>
          <w:ilvl w:val="0"/>
          <w:numId w:val="5"/>
        </w:numPr>
        <w:spacing w:line="240" w:lineRule="auto"/>
        <w:ind w:left="426"/>
        <w:rPr>
          <w:rFonts w:eastAsia="Times New Roman"/>
          <w:bCs/>
          <w:sz w:val="24"/>
          <w:szCs w:val="24"/>
        </w:rPr>
      </w:pPr>
      <w:r w:rsidRPr="00D53E0F">
        <w:rPr>
          <w:rFonts w:eastAsia="Times New Roman"/>
          <w:bCs/>
          <w:sz w:val="24"/>
          <w:szCs w:val="24"/>
        </w:rPr>
        <w:lastRenderedPageBreak/>
        <w:t>bei</w:t>
      </w:r>
      <w:r w:rsidR="006A450E">
        <w:rPr>
          <w:rFonts w:eastAsia="Times New Roman"/>
          <w:bCs/>
          <w:sz w:val="24"/>
          <w:szCs w:val="24"/>
        </w:rPr>
        <w:t xml:space="preserve"> dem </w:t>
      </w:r>
      <w:r w:rsidRPr="00D53E0F">
        <w:rPr>
          <w:rFonts w:eastAsia="Times New Roman"/>
          <w:bCs/>
          <w:sz w:val="24"/>
          <w:szCs w:val="24"/>
        </w:rPr>
        <w:t>Gericht</w:t>
      </w:r>
      <w:r w:rsidR="006A450E">
        <w:rPr>
          <w:rFonts w:eastAsia="Times New Roman"/>
          <w:bCs/>
          <w:sz w:val="24"/>
          <w:szCs w:val="24"/>
        </w:rPr>
        <w:t>, in dessen Bezirk der Ausschlagende oder Anfechtende seinen gewöhnlichen Aufenthalt hat</w:t>
      </w:r>
      <w:r w:rsidRPr="00D53E0F">
        <w:rPr>
          <w:rFonts w:eastAsia="Times New Roman"/>
          <w:bCs/>
          <w:sz w:val="24"/>
          <w:szCs w:val="24"/>
        </w:rPr>
        <w:t xml:space="preserve"> (§ 344 (7) </w:t>
      </w:r>
      <w:proofErr w:type="spellStart"/>
      <w:r w:rsidRPr="00D53E0F">
        <w:rPr>
          <w:rFonts w:eastAsia="Times New Roman"/>
          <w:bCs/>
          <w:sz w:val="24"/>
          <w:szCs w:val="24"/>
        </w:rPr>
        <w:t>FamFG</w:t>
      </w:r>
      <w:proofErr w:type="spellEnd"/>
      <w:r w:rsidRPr="00D53E0F">
        <w:rPr>
          <w:rFonts w:eastAsia="Times New Roman"/>
          <w:bCs/>
          <w:sz w:val="24"/>
          <w:szCs w:val="24"/>
        </w:rPr>
        <w:t xml:space="preserve">) </w:t>
      </w:r>
    </w:p>
    <w:p w14:paraId="324E0DF1" w14:textId="77777777" w:rsidR="00EE07B1" w:rsidRPr="00D53E0F" w:rsidRDefault="00EE07B1" w:rsidP="00EE07B1">
      <w:pPr>
        <w:spacing w:line="240" w:lineRule="auto"/>
        <w:rPr>
          <w:rFonts w:eastAsia="Times New Roman"/>
          <w:bCs/>
          <w:sz w:val="24"/>
          <w:szCs w:val="24"/>
        </w:rPr>
      </w:pPr>
    </w:p>
    <w:p w14:paraId="7779B003" w14:textId="21D39E91" w:rsidR="00EE07B1" w:rsidRPr="00D53E0F" w:rsidRDefault="00223786" w:rsidP="00223786">
      <w:pPr>
        <w:spacing w:line="240" w:lineRule="auto"/>
        <w:ind w:left="426"/>
        <w:rPr>
          <w:rFonts w:eastAsia="Times New Roman"/>
          <w:bCs/>
          <w:sz w:val="24"/>
          <w:szCs w:val="24"/>
        </w:rPr>
      </w:pPr>
      <w:r>
        <w:rPr>
          <w:rFonts w:eastAsia="Times New Roman"/>
          <w:bCs/>
          <w:sz w:val="24"/>
          <w:szCs w:val="24"/>
        </w:rPr>
        <w:t>D</w:t>
      </w:r>
      <w:r w:rsidR="00EE07B1" w:rsidRPr="00D53E0F">
        <w:rPr>
          <w:rFonts w:eastAsia="Times New Roman"/>
          <w:bCs/>
          <w:sz w:val="24"/>
          <w:szCs w:val="24"/>
        </w:rPr>
        <w:t xml:space="preserve">ie Frist stoppt, wenn die Ausschlagungserklärung beim </w:t>
      </w:r>
      <w:r>
        <w:rPr>
          <w:rFonts w:eastAsia="Times New Roman"/>
          <w:bCs/>
          <w:sz w:val="24"/>
          <w:szCs w:val="24"/>
        </w:rPr>
        <w:t>Nachlassg</w:t>
      </w:r>
      <w:r w:rsidR="00EE07B1" w:rsidRPr="00D53E0F">
        <w:rPr>
          <w:rFonts w:eastAsia="Times New Roman"/>
          <w:bCs/>
          <w:sz w:val="24"/>
          <w:szCs w:val="24"/>
        </w:rPr>
        <w:t>ericht erfolgt</w:t>
      </w:r>
    </w:p>
    <w:p w14:paraId="12625EA6" w14:textId="4261CF0F" w:rsidR="00EE07B1" w:rsidRPr="00D53E0F" w:rsidRDefault="00223786" w:rsidP="00223786">
      <w:pPr>
        <w:spacing w:line="240" w:lineRule="auto"/>
        <w:ind w:left="426"/>
        <w:rPr>
          <w:rFonts w:eastAsia="Times New Roman"/>
          <w:bCs/>
          <w:sz w:val="24"/>
          <w:szCs w:val="24"/>
        </w:rPr>
      </w:pPr>
      <w:r>
        <w:rPr>
          <w:rFonts w:eastAsia="Times New Roman"/>
          <w:bCs/>
          <w:sz w:val="24"/>
          <w:szCs w:val="24"/>
        </w:rPr>
        <w:t>B</w:t>
      </w:r>
      <w:r w:rsidR="00EE07B1" w:rsidRPr="00D53E0F">
        <w:rPr>
          <w:rFonts w:eastAsia="Times New Roman"/>
          <w:bCs/>
          <w:sz w:val="24"/>
          <w:szCs w:val="24"/>
        </w:rPr>
        <w:t xml:space="preserve">ei einer notariellen Ausschlagungserklärung stoppt die Frist erst mit Eingang der Urkunde beim </w:t>
      </w:r>
      <w:r>
        <w:rPr>
          <w:rFonts w:eastAsia="Times New Roman"/>
          <w:bCs/>
          <w:sz w:val="24"/>
          <w:szCs w:val="24"/>
        </w:rPr>
        <w:t>Nachlassgericht</w:t>
      </w:r>
      <w:r w:rsidR="00EE07B1" w:rsidRPr="00D53E0F">
        <w:rPr>
          <w:rFonts w:eastAsia="Times New Roman"/>
          <w:bCs/>
          <w:sz w:val="24"/>
          <w:szCs w:val="24"/>
        </w:rPr>
        <w:t xml:space="preserve"> </w:t>
      </w:r>
    </w:p>
    <w:p w14:paraId="62D5CE02" w14:textId="7555689E" w:rsidR="00EE07B1" w:rsidRPr="00D53E0F" w:rsidRDefault="00223786" w:rsidP="00223786">
      <w:pPr>
        <w:spacing w:line="240" w:lineRule="auto"/>
        <w:ind w:left="426"/>
        <w:rPr>
          <w:rFonts w:eastAsia="Times New Roman"/>
          <w:bCs/>
          <w:sz w:val="24"/>
          <w:szCs w:val="24"/>
        </w:rPr>
      </w:pPr>
      <w:r>
        <w:rPr>
          <w:rFonts w:eastAsia="Times New Roman"/>
          <w:bCs/>
          <w:sz w:val="24"/>
          <w:szCs w:val="24"/>
        </w:rPr>
        <w:t>E</w:t>
      </w:r>
      <w:r w:rsidR="00EE07B1" w:rsidRPr="00D53E0F">
        <w:rPr>
          <w:rFonts w:eastAsia="Times New Roman"/>
          <w:bCs/>
          <w:sz w:val="24"/>
          <w:szCs w:val="24"/>
        </w:rPr>
        <w:t>ine Teilannahme bzw. Ausschlagung ist nicht möglich (§</w:t>
      </w:r>
      <w:r w:rsidR="00EE07B1">
        <w:rPr>
          <w:rFonts w:eastAsia="Times New Roman"/>
          <w:bCs/>
          <w:sz w:val="24"/>
          <w:szCs w:val="24"/>
        </w:rPr>
        <w:t xml:space="preserve"> 195</w:t>
      </w:r>
      <w:r w:rsidR="00EE07B1" w:rsidRPr="00D53E0F">
        <w:rPr>
          <w:rFonts w:eastAsia="Times New Roman"/>
          <w:bCs/>
          <w:sz w:val="24"/>
          <w:szCs w:val="24"/>
        </w:rPr>
        <w:t>0 BGB)</w:t>
      </w:r>
    </w:p>
    <w:p w14:paraId="3F4D1C69" w14:textId="2DBF34EB" w:rsidR="00EE07B1" w:rsidRPr="00D53E0F" w:rsidRDefault="00223786" w:rsidP="00223786">
      <w:pPr>
        <w:spacing w:line="240" w:lineRule="auto"/>
        <w:ind w:left="426"/>
        <w:rPr>
          <w:rFonts w:eastAsia="Times New Roman"/>
          <w:bCs/>
          <w:sz w:val="24"/>
          <w:szCs w:val="24"/>
        </w:rPr>
      </w:pPr>
      <w:r>
        <w:rPr>
          <w:rFonts w:eastAsia="Times New Roman"/>
          <w:bCs/>
          <w:sz w:val="24"/>
          <w:szCs w:val="24"/>
        </w:rPr>
        <w:t>M</w:t>
      </w:r>
      <w:r w:rsidR="00EE07B1" w:rsidRPr="00D53E0F">
        <w:rPr>
          <w:rFonts w:eastAsia="Times New Roman"/>
          <w:bCs/>
          <w:sz w:val="24"/>
          <w:szCs w:val="24"/>
        </w:rPr>
        <w:t xml:space="preserve">an kann sowohl gesetzlicher als auch testamentarischer Erbe werden </w:t>
      </w:r>
      <w:r w:rsidR="00EE07B1" w:rsidRPr="00D53E0F">
        <w:rPr>
          <w:rFonts w:eastAsia="Times New Roman" w:cs="Arial"/>
          <w:bCs/>
          <w:sz w:val="24"/>
          <w:szCs w:val="24"/>
        </w:rPr>
        <w:t>→</w:t>
      </w:r>
      <w:r w:rsidR="00EE07B1" w:rsidRPr="00D53E0F">
        <w:rPr>
          <w:rFonts w:eastAsia="Times New Roman"/>
          <w:bCs/>
          <w:sz w:val="24"/>
          <w:szCs w:val="24"/>
        </w:rPr>
        <w:t xml:space="preserve"> man kann die Erbschaft als eingesetzter Erbe ausschlagen und als gesetzlicher Erbe </w:t>
      </w:r>
      <w:r w:rsidR="006A450E" w:rsidRPr="00D53E0F">
        <w:rPr>
          <w:rFonts w:eastAsia="Times New Roman"/>
          <w:bCs/>
          <w:sz w:val="24"/>
          <w:szCs w:val="24"/>
        </w:rPr>
        <w:t>annehmen (</w:t>
      </w:r>
      <w:r w:rsidR="00EE07B1" w:rsidRPr="00D53E0F">
        <w:rPr>
          <w:rFonts w:eastAsia="Times New Roman"/>
          <w:bCs/>
          <w:sz w:val="24"/>
          <w:szCs w:val="24"/>
        </w:rPr>
        <w:t>§ 1948 BGB)</w:t>
      </w:r>
    </w:p>
    <w:p w14:paraId="0C47C163" w14:textId="77777777" w:rsidR="00EE07B1" w:rsidRPr="00D53E0F" w:rsidRDefault="00EE07B1" w:rsidP="00EE07B1">
      <w:pPr>
        <w:spacing w:line="240" w:lineRule="auto"/>
        <w:rPr>
          <w:rFonts w:eastAsia="Times New Roman"/>
          <w:bCs/>
          <w:sz w:val="24"/>
          <w:szCs w:val="24"/>
        </w:rPr>
      </w:pPr>
    </w:p>
    <w:p w14:paraId="37D2B341"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Achtung!</w:t>
      </w:r>
    </w:p>
    <w:p w14:paraId="2933989C" w14:textId="12DB5885" w:rsidR="00EE07B1" w:rsidRPr="00D53E0F" w:rsidRDefault="00EE07B1" w:rsidP="00223786">
      <w:pPr>
        <w:spacing w:line="240" w:lineRule="auto"/>
        <w:ind w:left="426"/>
        <w:rPr>
          <w:rFonts w:eastAsia="Times New Roman"/>
          <w:bCs/>
          <w:sz w:val="24"/>
          <w:szCs w:val="24"/>
        </w:rPr>
      </w:pPr>
      <w:r w:rsidRPr="00D53E0F">
        <w:rPr>
          <w:rFonts w:eastAsia="Times New Roman"/>
          <w:bCs/>
          <w:sz w:val="24"/>
          <w:szCs w:val="24"/>
        </w:rPr>
        <w:t xml:space="preserve">die Ausschlagung für </w:t>
      </w:r>
      <w:r w:rsidR="006A450E">
        <w:rPr>
          <w:rFonts w:eastAsia="Times New Roman"/>
          <w:bCs/>
          <w:sz w:val="24"/>
          <w:szCs w:val="24"/>
        </w:rPr>
        <w:t>M</w:t>
      </w:r>
      <w:r w:rsidRPr="00D53E0F">
        <w:rPr>
          <w:rFonts w:eastAsia="Times New Roman"/>
          <w:bCs/>
          <w:sz w:val="24"/>
          <w:szCs w:val="24"/>
        </w:rPr>
        <w:t xml:space="preserve">inderjährige </w:t>
      </w:r>
      <w:r w:rsidR="006A450E">
        <w:rPr>
          <w:rFonts w:eastAsia="Times New Roman"/>
          <w:bCs/>
          <w:sz w:val="24"/>
          <w:szCs w:val="24"/>
        </w:rPr>
        <w:t>wird durch</w:t>
      </w:r>
      <w:r w:rsidRPr="00D53E0F">
        <w:rPr>
          <w:rFonts w:eastAsia="Times New Roman"/>
          <w:bCs/>
          <w:sz w:val="24"/>
          <w:szCs w:val="24"/>
        </w:rPr>
        <w:t xml:space="preserve"> die sorgeberechtigten Eltern </w:t>
      </w:r>
      <w:r w:rsidR="006A450E">
        <w:rPr>
          <w:rFonts w:eastAsia="Times New Roman"/>
          <w:bCs/>
          <w:sz w:val="24"/>
          <w:szCs w:val="24"/>
        </w:rPr>
        <w:t>vorgenommen</w:t>
      </w:r>
      <w:r w:rsidRPr="00D53E0F">
        <w:rPr>
          <w:rFonts w:eastAsia="Times New Roman"/>
          <w:bCs/>
          <w:sz w:val="24"/>
          <w:szCs w:val="24"/>
        </w:rPr>
        <w:t xml:space="preserve"> (wenn beide das Sorgerecht haben </w:t>
      </w:r>
      <w:r w:rsidRPr="00D53E0F">
        <w:rPr>
          <w:rFonts w:eastAsia="Times New Roman" w:cs="Arial"/>
          <w:bCs/>
          <w:sz w:val="24"/>
          <w:szCs w:val="24"/>
        </w:rPr>
        <w:t>→ müssen</w:t>
      </w:r>
      <w:r w:rsidRPr="00D53E0F">
        <w:rPr>
          <w:rFonts w:eastAsia="Times New Roman"/>
          <w:bCs/>
          <w:sz w:val="24"/>
          <w:szCs w:val="24"/>
        </w:rPr>
        <w:t xml:space="preserve"> beide ausschlagen, können aber getrennt </w:t>
      </w:r>
      <w:r w:rsidR="006A450E" w:rsidRPr="00D53E0F">
        <w:rPr>
          <w:rFonts w:eastAsia="Times New Roman"/>
          <w:bCs/>
          <w:sz w:val="24"/>
          <w:szCs w:val="24"/>
        </w:rPr>
        <w:t>voneinander</w:t>
      </w:r>
      <w:r w:rsidRPr="00D53E0F">
        <w:rPr>
          <w:rFonts w:eastAsia="Times New Roman"/>
          <w:bCs/>
          <w:sz w:val="24"/>
          <w:szCs w:val="24"/>
        </w:rPr>
        <w:t xml:space="preserve"> diese Erklärung abgeben)</w:t>
      </w:r>
      <w:r>
        <w:rPr>
          <w:rFonts w:eastAsia="Times New Roman"/>
          <w:bCs/>
          <w:sz w:val="24"/>
          <w:szCs w:val="24"/>
        </w:rPr>
        <w:t xml:space="preserve"> (§ 1643 BGB)</w:t>
      </w:r>
    </w:p>
    <w:p w14:paraId="3B7263E7" w14:textId="06B31693" w:rsidR="00EE07B1" w:rsidRDefault="00223786" w:rsidP="00223786">
      <w:pPr>
        <w:spacing w:line="240" w:lineRule="auto"/>
        <w:ind w:left="426"/>
        <w:rPr>
          <w:rFonts w:eastAsia="Times New Roman"/>
          <w:bCs/>
          <w:sz w:val="24"/>
          <w:szCs w:val="24"/>
        </w:rPr>
      </w:pPr>
      <w:r>
        <w:rPr>
          <w:rFonts w:eastAsia="Times New Roman"/>
          <w:bCs/>
          <w:sz w:val="24"/>
          <w:szCs w:val="24"/>
        </w:rPr>
        <w:t>allein Sorgenberechtigte müssen familiengerichtliche Genehmigung beibringen, wenn der Sorgeberechtigte nicht mit dem Erblasser verwandt ist.</w:t>
      </w:r>
    </w:p>
    <w:p w14:paraId="6A4C0A17" w14:textId="77777777" w:rsidR="00223786" w:rsidRPr="00D53E0F" w:rsidRDefault="00223786" w:rsidP="00EE07B1">
      <w:pPr>
        <w:spacing w:line="240" w:lineRule="auto"/>
        <w:rPr>
          <w:rFonts w:eastAsia="Times New Roman"/>
          <w:bCs/>
          <w:sz w:val="24"/>
          <w:szCs w:val="24"/>
        </w:rPr>
      </w:pPr>
    </w:p>
    <w:p w14:paraId="2E6F567B" w14:textId="77777777"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Wirkung</w:t>
      </w:r>
    </w:p>
    <w:p w14:paraId="0055840E" w14:textId="77777777" w:rsidR="00EE07B1" w:rsidRPr="00D53E0F" w:rsidRDefault="00EE07B1" w:rsidP="00EE07B1">
      <w:pPr>
        <w:numPr>
          <w:ilvl w:val="0"/>
          <w:numId w:val="6"/>
        </w:numPr>
        <w:spacing w:line="240" w:lineRule="auto"/>
        <w:ind w:left="426"/>
        <w:rPr>
          <w:rFonts w:eastAsia="Times New Roman"/>
          <w:bCs/>
          <w:sz w:val="24"/>
          <w:szCs w:val="24"/>
        </w:rPr>
      </w:pPr>
      <w:r w:rsidRPr="00D53E0F">
        <w:rPr>
          <w:rFonts w:eastAsia="Times New Roman"/>
          <w:bCs/>
          <w:sz w:val="24"/>
          <w:szCs w:val="24"/>
        </w:rPr>
        <w:t>als hätte der Erbe den Erbfall nicht erlebt (wie vorverstorben)</w:t>
      </w:r>
      <w:r>
        <w:rPr>
          <w:rFonts w:eastAsia="Times New Roman"/>
          <w:bCs/>
          <w:sz w:val="24"/>
          <w:szCs w:val="24"/>
        </w:rPr>
        <w:t xml:space="preserve"> (§ 1953 BGB)</w:t>
      </w:r>
    </w:p>
    <w:p w14:paraId="6BB7B89E" w14:textId="77777777" w:rsidR="00EE07B1" w:rsidRPr="00D53E0F" w:rsidRDefault="00EE07B1" w:rsidP="00EE07B1">
      <w:pPr>
        <w:numPr>
          <w:ilvl w:val="0"/>
          <w:numId w:val="6"/>
        </w:numPr>
        <w:spacing w:line="240" w:lineRule="auto"/>
        <w:ind w:left="426"/>
        <w:rPr>
          <w:rFonts w:eastAsia="Times New Roman"/>
          <w:bCs/>
          <w:sz w:val="24"/>
          <w:szCs w:val="24"/>
        </w:rPr>
      </w:pPr>
      <w:r w:rsidRPr="00D53E0F">
        <w:rPr>
          <w:rFonts w:eastAsia="Times New Roman"/>
          <w:bCs/>
          <w:sz w:val="24"/>
          <w:szCs w:val="24"/>
        </w:rPr>
        <w:t xml:space="preserve">die Erbschaft geht an den Nächsten in der Rangfolge </w:t>
      </w:r>
    </w:p>
    <w:p w14:paraId="023273B3" w14:textId="77777777" w:rsidR="00EE07B1" w:rsidRPr="00D53E0F" w:rsidRDefault="00EE07B1" w:rsidP="00EE07B1">
      <w:pPr>
        <w:spacing w:line="240" w:lineRule="auto"/>
        <w:ind w:firstLine="426"/>
        <w:rPr>
          <w:rFonts w:eastAsia="Times New Roman"/>
          <w:bCs/>
          <w:sz w:val="24"/>
          <w:szCs w:val="24"/>
        </w:rPr>
      </w:pPr>
      <w:r w:rsidRPr="00D53E0F">
        <w:rPr>
          <w:rFonts w:eastAsia="Times New Roman"/>
          <w:bCs/>
          <w:sz w:val="24"/>
          <w:szCs w:val="24"/>
        </w:rPr>
        <w:t>(§§ 1924 BGB ff. + § 1930 BGB)</w:t>
      </w:r>
    </w:p>
    <w:p w14:paraId="648D43E9" w14:textId="77777777" w:rsidR="00EE07B1" w:rsidRPr="00D53E0F" w:rsidRDefault="00EE07B1" w:rsidP="00EE07B1">
      <w:pPr>
        <w:spacing w:line="240" w:lineRule="auto"/>
        <w:rPr>
          <w:rFonts w:eastAsia="Times New Roman"/>
          <w:bCs/>
          <w:sz w:val="24"/>
          <w:szCs w:val="24"/>
        </w:rPr>
      </w:pPr>
    </w:p>
    <w:p w14:paraId="1A733018" w14:textId="77777777"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Anfechtung</w:t>
      </w:r>
      <w:r w:rsidRPr="00D53E0F">
        <w:rPr>
          <w:rFonts w:eastAsia="Times New Roman"/>
          <w:bCs/>
          <w:sz w:val="24"/>
          <w:szCs w:val="24"/>
        </w:rPr>
        <w:t xml:space="preserve"> (§§ 1954 BGB ff.)</w:t>
      </w:r>
    </w:p>
    <w:p w14:paraId="5008C928"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 xml:space="preserve">falls man sich im Grund der Ausschlagung / Annahme geirrt hat, kann man diese Erklärung anfechten </w:t>
      </w:r>
    </w:p>
    <w:p w14:paraId="7C19E576"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 xml:space="preserve">Frist und Form entspricht der Ausschlagungserklärung </w:t>
      </w:r>
    </w:p>
    <w:p w14:paraId="0884C938" w14:textId="77777777" w:rsidR="00EE07B1" w:rsidRDefault="00EE07B1" w:rsidP="00EE07B1">
      <w:pPr>
        <w:spacing w:line="240" w:lineRule="auto"/>
        <w:rPr>
          <w:rFonts w:eastAsia="Times New Roman"/>
          <w:bCs/>
          <w:sz w:val="24"/>
          <w:szCs w:val="24"/>
        </w:rPr>
      </w:pPr>
    </w:p>
    <w:p w14:paraId="664E5580" w14:textId="77777777" w:rsidR="006A450E" w:rsidRDefault="006A450E" w:rsidP="00EE07B1">
      <w:pPr>
        <w:spacing w:line="240" w:lineRule="auto"/>
        <w:rPr>
          <w:rFonts w:eastAsia="Times New Roman"/>
          <w:bCs/>
          <w:sz w:val="24"/>
          <w:szCs w:val="24"/>
        </w:rPr>
      </w:pPr>
    </w:p>
    <w:p w14:paraId="4D255E23" w14:textId="77777777" w:rsidR="006A450E" w:rsidRPr="00D53E0F" w:rsidRDefault="006A450E" w:rsidP="00EE07B1">
      <w:pPr>
        <w:spacing w:line="240" w:lineRule="auto"/>
        <w:rPr>
          <w:rFonts w:eastAsia="Times New Roman"/>
          <w:bCs/>
          <w:sz w:val="24"/>
          <w:szCs w:val="24"/>
        </w:rPr>
      </w:pPr>
    </w:p>
    <w:p w14:paraId="69282BCE"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 xml:space="preserve">für die Erbausschlagung ist eine Gebühr fällig (§ 18 (2) 2. </w:t>
      </w:r>
      <w:proofErr w:type="spellStart"/>
      <w:r w:rsidRPr="00D53E0F">
        <w:rPr>
          <w:rFonts w:eastAsia="Times New Roman"/>
          <w:bCs/>
          <w:sz w:val="24"/>
          <w:szCs w:val="24"/>
        </w:rPr>
        <w:t>GNotKG</w:t>
      </w:r>
      <w:proofErr w:type="spellEnd"/>
      <w:r w:rsidRPr="00D53E0F">
        <w:rPr>
          <w:rFonts w:eastAsia="Times New Roman"/>
          <w:bCs/>
          <w:sz w:val="24"/>
          <w:szCs w:val="24"/>
        </w:rPr>
        <w:t xml:space="preserve">), die der Erklärende zu zahlen hat (§ 22 </w:t>
      </w:r>
      <w:proofErr w:type="spellStart"/>
      <w:r w:rsidRPr="00D53E0F">
        <w:rPr>
          <w:rFonts w:eastAsia="Times New Roman"/>
          <w:bCs/>
          <w:sz w:val="24"/>
          <w:szCs w:val="24"/>
        </w:rPr>
        <w:t>GNotKG</w:t>
      </w:r>
      <w:proofErr w:type="spellEnd"/>
      <w:r w:rsidRPr="00D53E0F">
        <w:rPr>
          <w:rFonts w:eastAsia="Times New Roman"/>
          <w:bCs/>
          <w:sz w:val="24"/>
          <w:szCs w:val="24"/>
        </w:rPr>
        <w:t>)</w:t>
      </w:r>
    </w:p>
    <w:p w14:paraId="45255C19"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diese richtet sich nach dem Nachlasswert (mindestens 30,00 €)</w:t>
      </w:r>
    </w:p>
    <w:p w14:paraId="454AF1E4"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die Kosten der Beerdigung tragen die Erben (§ 1968 BGB)</w:t>
      </w:r>
    </w:p>
    <w:p w14:paraId="672E8441"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 xml:space="preserve">wenn keine Erben da sind, haben die nahen Angehörigen (Ehegatten, volljährige Kinder, Eltern, volljährige Geschwister, voll. Enkelkinder, Großeltern) für die Beerdigung zu sorgen, trotz </w:t>
      </w:r>
      <w:r w:rsidRPr="00D53E0F">
        <w:rPr>
          <w:rFonts w:eastAsia="Times New Roman"/>
          <w:b/>
          <w:bCs/>
          <w:sz w:val="24"/>
          <w:szCs w:val="24"/>
        </w:rPr>
        <w:t>Ausschlagung!!!</w:t>
      </w:r>
      <w:r w:rsidRPr="00D53E0F">
        <w:rPr>
          <w:rFonts w:eastAsia="Times New Roman"/>
          <w:bCs/>
          <w:sz w:val="24"/>
          <w:szCs w:val="24"/>
        </w:rPr>
        <w:t xml:space="preserve"> (§16 Bestattungsgesetz)</w:t>
      </w:r>
    </w:p>
    <w:p w14:paraId="7E9495F0" w14:textId="77777777" w:rsidR="00EE07B1" w:rsidRPr="00D53E0F" w:rsidRDefault="00EE07B1" w:rsidP="00EE07B1">
      <w:pPr>
        <w:numPr>
          <w:ilvl w:val="0"/>
          <w:numId w:val="7"/>
        </w:numPr>
        <w:spacing w:line="240" w:lineRule="auto"/>
        <w:ind w:left="426"/>
        <w:rPr>
          <w:rFonts w:eastAsia="Times New Roman"/>
          <w:bCs/>
          <w:sz w:val="24"/>
          <w:szCs w:val="24"/>
        </w:rPr>
      </w:pPr>
      <w:r w:rsidRPr="00D53E0F">
        <w:rPr>
          <w:rFonts w:eastAsia="Times New Roman"/>
          <w:bCs/>
          <w:sz w:val="24"/>
          <w:szCs w:val="24"/>
        </w:rPr>
        <w:t xml:space="preserve">der Fiskus kann das Erbe nicht ausschlagen (§ 1942 (2) BGB), würde aber im Falle einer Feststellung nur mit dem Nachlass haften (Gläubiger würden aus dem Guthaben des Nachlasses befriedigt werden, kein Guthaben mehr </w:t>
      </w:r>
      <w:r w:rsidRPr="00D53E0F">
        <w:rPr>
          <w:rFonts w:eastAsia="Times New Roman" w:cs="Arial"/>
          <w:bCs/>
          <w:sz w:val="24"/>
          <w:szCs w:val="24"/>
        </w:rPr>
        <w:t>→</w:t>
      </w:r>
      <w:r w:rsidRPr="00D53E0F">
        <w:rPr>
          <w:rFonts w:eastAsia="Times New Roman"/>
          <w:bCs/>
          <w:sz w:val="24"/>
          <w:szCs w:val="24"/>
        </w:rPr>
        <w:t xml:space="preserve"> Gläubiger kann nicht befriedigt werden</w:t>
      </w:r>
    </w:p>
    <w:p w14:paraId="254920B5" w14:textId="77777777" w:rsidR="00EE07B1" w:rsidRDefault="00EE07B1" w:rsidP="00EE07B1">
      <w:pPr>
        <w:spacing w:line="240" w:lineRule="auto"/>
        <w:rPr>
          <w:rFonts w:eastAsia="Times New Roman"/>
          <w:bCs/>
          <w:sz w:val="24"/>
          <w:szCs w:val="24"/>
        </w:rPr>
      </w:pPr>
    </w:p>
    <w:p w14:paraId="017897CC" w14:textId="77777777" w:rsidR="00EE07B1" w:rsidRPr="00791C38" w:rsidRDefault="00EE07B1" w:rsidP="00EE07B1">
      <w:pPr>
        <w:spacing w:line="240" w:lineRule="auto"/>
        <w:rPr>
          <w:rFonts w:eastAsia="Times New Roman"/>
          <w:b/>
          <w:bCs/>
          <w:sz w:val="24"/>
          <w:szCs w:val="24"/>
        </w:rPr>
      </w:pPr>
      <w:r w:rsidRPr="00791C38">
        <w:rPr>
          <w:rFonts w:eastAsia="Times New Roman"/>
          <w:b/>
          <w:bCs/>
          <w:sz w:val="24"/>
          <w:szCs w:val="24"/>
        </w:rPr>
        <w:t>Ehescheidung</w:t>
      </w:r>
    </w:p>
    <w:p w14:paraId="0A6430FF" w14:textId="77777777" w:rsidR="00EE07B1" w:rsidRDefault="00EE07B1" w:rsidP="00EE07B1">
      <w:pPr>
        <w:spacing w:line="240" w:lineRule="auto"/>
        <w:rPr>
          <w:rFonts w:eastAsia="Times New Roman"/>
          <w:bCs/>
          <w:sz w:val="24"/>
          <w:szCs w:val="24"/>
        </w:rPr>
      </w:pPr>
    </w:p>
    <w:p w14:paraId="40B86FD8" w14:textId="3640D9B8" w:rsidR="00EE07B1" w:rsidRPr="00791C38" w:rsidRDefault="00EE07B1" w:rsidP="00EE07B1">
      <w:pPr>
        <w:pStyle w:val="Listenabsatz"/>
        <w:numPr>
          <w:ilvl w:val="0"/>
          <w:numId w:val="22"/>
        </w:numPr>
        <w:spacing w:line="240" w:lineRule="auto"/>
        <w:ind w:left="426" w:hanging="426"/>
        <w:rPr>
          <w:rFonts w:eastAsia="Times New Roman"/>
          <w:bCs/>
          <w:sz w:val="24"/>
          <w:szCs w:val="24"/>
        </w:rPr>
      </w:pPr>
      <w:r w:rsidRPr="00791C38">
        <w:rPr>
          <w:rFonts w:eastAsia="Times New Roman"/>
          <w:bCs/>
          <w:sz w:val="24"/>
          <w:szCs w:val="24"/>
        </w:rPr>
        <w:t xml:space="preserve">nur Ehegatten haben </w:t>
      </w:r>
      <w:r w:rsidR="006A450E" w:rsidRPr="00791C38">
        <w:rPr>
          <w:rFonts w:eastAsia="Times New Roman"/>
          <w:bCs/>
          <w:sz w:val="24"/>
          <w:szCs w:val="24"/>
        </w:rPr>
        <w:t>ein Erbrecht</w:t>
      </w:r>
      <w:r w:rsidRPr="00791C38">
        <w:rPr>
          <w:rFonts w:eastAsia="Times New Roman"/>
          <w:bCs/>
          <w:sz w:val="24"/>
          <w:szCs w:val="24"/>
        </w:rPr>
        <w:t xml:space="preserve"> (§ 1931 BGB)</w:t>
      </w:r>
    </w:p>
    <w:p w14:paraId="7EA78233" w14:textId="77777777" w:rsidR="00EE07B1" w:rsidRPr="00791C38" w:rsidRDefault="00EE07B1" w:rsidP="00EE07B1">
      <w:pPr>
        <w:pStyle w:val="Listenabsatz"/>
        <w:numPr>
          <w:ilvl w:val="0"/>
          <w:numId w:val="22"/>
        </w:numPr>
        <w:spacing w:line="240" w:lineRule="auto"/>
        <w:ind w:left="426" w:hanging="426"/>
        <w:rPr>
          <w:rFonts w:eastAsia="Times New Roman"/>
          <w:bCs/>
          <w:sz w:val="24"/>
          <w:szCs w:val="24"/>
        </w:rPr>
      </w:pPr>
      <w:r>
        <w:rPr>
          <w:rFonts w:eastAsia="Times New Roman"/>
          <w:bCs/>
          <w:sz w:val="24"/>
          <w:szCs w:val="24"/>
        </w:rPr>
        <w:t>sein Erbrecht und auch Pflichtteils geht durch rechtskräftige Auflösung der Ehe mit dem Erblasser verloren (§ 1564 Scheidung, § 1313 Aufhebung)</w:t>
      </w:r>
    </w:p>
    <w:p w14:paraId="7B3AE70B" w14:textId="7E80CB31" w:rsidR="00EE07B1" w:rsidRPr="00791C38" w:rsidRDefault="00EE07B1" w:rsidP="00EE07B1">
      <w:pPr>
        <w:pStyle w:val="Listenabsatz"/>
        <w:numPr>
          <w:ilvl w:val="0"/>
          <w:numId w:val="22"/>
        </w:numPr>
        <w:spacing w:line="240" w:lineRule="auto"/>
        <w:ind w:left="426" w:hanging="426"/>
        <w:rPr>
          <w:rFonts w:eastAsia="Times New Roman"/>
          <w:bCs/>
          <w:sz w:val="24"/>
          <w:szCs w:val="24"/>
        </w:rPr>
      </w:pPr>
      <w:r w:rsidRPr="00791C38">
        <w:rPr>
          <w:rFonts w:eastAsia="Times New Roman"/>
          <w:bCs/>
          <w:sz w:val="24"/>
          <w:szCs w:val="24"/>
        </w:rPr>
        <w:t>wenn die Voraussetzung</w:t>
      </w:r>
      <w:r w:rsidR="00223786">
        <w:rPr>
          <w:rFonts w:eastAsia="Times New Roman"/>
          <w:bCs/>
          <w:sz w:val="24"/>
          <w:szCs w:val="24"/>
        </w:rPr>
        <w:t>en</w:t>
      </w:r>
      <w:r w:rsidRPr="00791C38">
        <w:rPr>
          <w:rFonts w:eastAsia="Times New Roman"/>
          <w:bCs/>
          <w:sz w:val="24"/>
          <w:szCs w:val="24"/>
        </w:rPr>
        <w:t xml:space="preserve"> einer Scheidung gegeben sind, hat der Ehegatte ggf. auch kein Erbrecht mehr (§ 1933 BGB)</w:t>
      </w:r>
    </w:p>
    <w:p w14:paraId="1DBE8F67" w14:textId="77777777" w:rsidR="00EE07B1" w:rsidRDefault="00EE07B1" w:rsidP="00EE07B1">
      <w:pPr>
        <w:spacing w:line="240" w:lineRule="auto"/>
        <w:rPr>
          <w:rFonts w:eastAsia="Times New Roman"/>
          <w:bCs/>
          <w:sz w:val="24"/>
          <w:szCs w:val="24"/>
        </w:rPr>
      </w:pPr>
    </w:p>
    <w:p w14:paraId="66E4AFB6" w14:textId="77777777" w:rsidR="00223786" w:rsidRDefault="00223786" w:rsidP="00EE07B1">
      <w:pPr>
        <w:spacing w:line="240" w:lineRule="auto"/>
        <w:rPr>
          <w:rFonts w:eastAsia="Times New Roman"/>
          <w:bCs/>
          <w:sz w:val="24"/>
          <w:szCs w:val="24"/>
        </w:rPr>
      </w:pPr>
    </w:p>
    <w:p w14:paraId="1D8C6DC4" w14:textId="77777777" w:rsidR="00223786" w:rsidRPr="00D53E0F" w:rsidRDefault="00223786" w:rsidP="00EE07B1">
      <w:pPr>
        <w:spacing w:line="240" w:lineRule="auto"/>
        <w:rPr>
          <w:rFonts w:eastAsia="Times New Roman"/>
          <w:bCs/>
          <w:sz w:val="24"/>
          <w:szCs w:val="24"/>
        </w:rPr>
      </w:pPr>
    </w:p>
    <w:p w14:paraId="32902661" w14:textId="731E46FC" w:rsidR="00EE07B1" w:rsidRPr="00D53E0F" w:rsidRDefault="00EE07B1" w:rsidP="00EE07B1">
      <w:pPr>
        <w:spacing w:line="240" w:lineRule="auto"/>
        <w:rPr>
          <w:rFonts w:eastAsia="Times New Roman"/>
          <w:b/>
          <w:bCs/>
          <w:sz w:val="30"/>
          <w:szCs w:val="30"/>
        </w:rPr>
      </w:pPr>
      <w:r w:rsidRPr="00D53E0F">
        <w:rPr>
          <w:rFonts w:eastAsia="Times New Roman"/>
          <w:b/>
          <w:bCs/>
          <w:sz w:val="30"/>
          <w:szCs w:val="30"/>
        </w:rPr>
        <w:t xml:space="preserve"> Haftung der Erben</w:t>
      </w:r>
    </w:p>
    <w:p w14:paraId="5F1D2769" w14:textId="77777777" w:rsidR="00EE07B1" w:rsidRPr="00D53E0F" w:rsidRDefault="00EE07B1" w:rsidP="00EE07B1">
      <w:pPr>
        <w:spacing w:line="240" w:lineRule="auto"/>
        <w:rPr>
          <w:rFonts w:eastAsia="Times New Roman"/>
          <w:bCs/>
          <w:sz w:val="24"/>
          <w:szCs w:val="24"/>
        </w:rPr>
      </w:pPr>
    </w:p>
    <w:p w14:paraId="7C7DCE9E" w14:textId="77777777" w:rsidR="00EE07B1" w:rsidRPr="00D53E0F" w:rsidRDefault="00EE07B1" w:rsidP="00EE07B1">
      <w:pPr>
        <w:numPr>
          <w:ilvl w:val="0"/>
          <w:numId w:val="15"/>
        </w:numPr>
        <w:spacing w:line="240" w:lineRule="auto"/>
        <w:ind w:left="426"/>
        <w:rPr>
          <w:rFonts w:eastAsia="Times New Roman"/>
          <w:bCs/>
          <w:sz w:val="24"/>
          <w:szCs w:val="24"/>
        </w:rPr>
      </w:pPr>
      <w:r w:rsidRPr="00D53E0F">
        <w:rPr>
          <w:rFonts w:eastAsia="Times New Roman"/>
          <w:bCs/>
          <w:sz w:val="24"/>
          <w:szCs w:val="24"/>
        </w:rPr>
        <w:t>die Erben haften als Gesamtschuldner (§ 2058 BGB) für die Nachlassverbindlichkeiten (§ 1967 BGB)</w:t>
      </w:r>
    </w:p>
    <w:p w14:paraId="016C7DB0" w14:textId="77777777" w:rsidR="00EE07B1" w:rsidRPr="00D53E0F" w:rsidRDefault="00EE07B1" w:rsidP="00EE07B1">
      <w:pPr>
        <w:numPr>
          <w:ilvl w:val="0"/>
          <w:numId w:val="15"/>
        </w:numPr>
        <w:spacing w:line="240" w:lineRule="auto"/>
        <w:ind w:left="426"/>
        <w:rPr>
          <w:rFonts w:eastAsia="Times New Roman"/>
          <w:bCs/>
          <w:sz w:val="24"/>
          <w:szCs w:val="24"/>
        </w:rPr>
      </w:pPr>
      <w:r w:rsidRPr="00D53E0F">
        <w:rPr>
          <w:rFonts w:eastAsia="Times New Roman"/>
          <w:bCs/>
          <w:sz w:val="24"/>
          <w:szCs w:val="24"/>
        </w:rPr>
        <w:t>dazu gehören:</w:t>
      </w:r>
    </w:p>
    <w:p w14:paraId="3A1E66D6" w14:textId="77777777" w:rsidR="00EE07B1" w:rsidRPr="00D53E0F" w:rsidRDefault="00EE07B1" w:rsidP="00EE07B1">
      <w:pPr>
        <w:numPr>
          <w:ilvl w:val="0"/>
          <w:numId w:val="16"/>
        </w:numPr>
        <w:spacing w:line="240" w:lineRule="auto"/>
        <w:rPr>
          <w:rFonts w:eastAsia="Times New Roman"/>
          <w:bCs/>
          <w:sz w:val="24"/>
          <w:szCs w:val="24"/>
        </w:rPr>
      </w:pPr>
      <w:r w:rsidRPr="00D53E0F">
        <w:rPr>
          <w:rFonts w:eastAsia="Times New Roman"/>
          <w:bCs/>
          <w:sz w:val="24"/>
          <w:szCs w:val="24"/>
        </w:rPr>
        <w:t>Schulden des Erblassers (z. B. Darlehen)</w:t>
      </w:r>
    </w:p>
    <w:p w14:paraId="3B5BE56D" w14:textId="77777777" w:rsidR="00EE07B1" w:rsidRPr="00D53E0F" w:rsidRDefault="00EE07B1" w:rsidP="00EE07B1">
      <w:pPr>
        <w:numPr>
          <w:ilvl w:val="0"/>
          <w:numId w:val="16"/>
        </w:numPr>
        <w:spacing w:line="240" w:lineRule="auto"/>
        <w:rPr>
          <w:rFonts w:eastAsia="Times New Roman"/>
          <w:bCs/>
          <w:sz w:val="24"/>
          <w:szCs w:val="24"/>
        </w:rPr>
      </w:pPr>
      <w:r w:rsidRPr="00D53E0F">
        <w:rPr>
          <w:rFonts w:eastAsia="Times New Roman"/>
          <w:bCs/>
          <w:sz w:val="24"/>
          <w:szCs w:val="24"/>
        </w:rPr>
        <w:t>Schulden, die durch den Erbfall entstehen (z. B. Vermächtnis)</w:t>
      </w:r>
    </w:p>
    <w:p w14:paraId="4F7D690E" w14:textId="77777777" w:rsidR="00EE07B1" w:rsidRPr="00D53E0F" w:rsidRDefault="00EE07B1" w:rsidP="00EE07B1">
      <w:pPr>
        <w:spacing w:line="240" w:lineRule="auto"/>
        <w:rPr>
          <w:rFonts w:eastAsia="Times New Roman"/>
          <w:bCs/>
          <w:sz w:val="24"/>
          <w:szCs w:val="24"/>
        </w:rPr>
      </w:pPr>
    </w:p>
    <w:p w14:paraId="19340B7D" w14:textId="77777777" w:rsidR="00EE07B1" w:rsidRPr="00D53E0F" w:rsidRDefault="00EE07B1" w:rsidP="00223786">
      <w:pPr>
        <w:spacing w:line="240" w:lineRule="auto"/>
        <w:ind w:left="426"/>
        <w:rPr>
          <w:rFonts w:eastAsia="Times New Roman"/>
          <w:bCs/>
          <w:sz w:val="24"/>
          <w:szCs w:val="24"/>
        </w:rPr>
      </w:pPr>
      <w:r w:rsidRPr="00D53E0F">
        <w:rPr>
          <w:rFonts w:eastAsia="Times New Roman"/>
          <w:bCs/>
          <w:sz w:val="24"/>
          <w:szCs w:val="24"/>
        </w:rPr>
        <w:t>grundsätzlich haften die Erben auch mit ihrem Vermögen, also unbeschränkt</w:t>
      </w:r>
    </w:p>
    <w:p w14:paraId="7CA9863C" w14:textId="5824E91C" w:rsidR="00EE07B1" w:rsidRPr="00D53E0F" w:rsidRDefault="00223786" w:rsidP="00223786">
      <w:pPr>
        <w:spacing w:line="240" w:lineRule="auto"/>
        <w:ind w:left="426"/>
        <w:rPr>
          <w:rFonts w:eastAsia="Times New Roman"/>
          <w:bCs/>
          <w:sz w:val="24"/>
          <w:szCs w:val="24"/>
        </w:rPr>
      </w:pPr>
      <w:r>
        <w:rPr>
          <w:rFonts w:eastAsia="Times New Roman"/>
          <w:bCs/>
          <w:sz w:val="24"/>
          <w:szCs w:val="24"/>
        </w:rPr>
        <w:t>D</w:t>
      </w:r>
      <w:r w:rsidR="00EE07B1" w:rsidRPr="00D53E0F">
        <w:rPr>
          <w:rFonts w:eastAsia="Times New Roman"/>
          <w:bCs/>
          <w:sz w:val="24"/>
          <w:szCs w:val="24"/>
        </w:rPr>
        <w:t>er</w:t>
      </w:r>
      <w:r>
        <w:rPr>
          <w:rFonts w:eastAsia="Times New Roman"/>
          <w:bCs/>
          <w:sz w:val="24"/>
          <w:szCs w:val="24"/>
        </w:rPr>
        <w:t xml:space="preserve"> Erbe</w:t>
      </w:r>
      <w:r w:rsidR="00EE07B1" w:rsidRPr="00D53E0F">
        <w:rPr>
          <w:rFonts w:eastAsia="Times New Roman"/>
          <w:bCs/>
          <w:sz w:val="24"/>
          <w:szCs w:val="24"/>
        </w:rPr>
        <w:t xml:space="preserve"> kann aber die Haftung der Schulden auf den Nachlass beschränken und sein sonstiges Privatvermögen vor beispielsweise Nachlassgläubigern sichern:</w:t>
      </w:r>
    </w:p>
    <w:p w14:paraId="0E8FA51C" w14:textId="77777777" w:rsidR="00EE07B1" w:rsidRPr="00D53E0F" w:rsidRDefault="00EE07B1" w:rsidP="00EE07B1">
      <w:pPr>
        <w:spacing w:line="240" w:lineRule="auto"/>
        <w:rPr>
          <w:rFonts w:eastAsia="Times New Roman"/>
          <w:bCs/>
          <w:sz w:val="24"/>
          <w:szCs w:val="24"/>
        </w:rPr>
      </w:pPr>
    </w:p>
    <w:p w14:paraId="37BDD9A5"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Inventarerrichtung (§§ 1993 BGB ff.)</w:t>
      </w:r>
    </w:p>
    <w:p w14:paraId="09536ACF"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nach Annahme der Erbschaft hat der Erbe das Recht, die Erfüllung von Nachlassverbindlichkeiten für die ersten 3 Monate zu verweigern (§ 2014 BGB)</w:t>
      </w:r>
    </w:p>
    <w:p w14:paraId="60352ED6"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 xml:space="preserve">damit er sich einen Überblick über den Nachlass verschaffen kann </w:t>
      </w:r>
      <w:r w:rsidRPr="00D53E0F">
        <w:rPr>
          <w:rFonts w:eastAsia="Times New Roman" w:cs="Arial"/>
          <w:bCs/>
          <w:sz w:val="24"/>
          <w:szCs w:val="24"/>
        </w:rPr>
        <w:t>→</w:t>
      </w:r>
      <w:r w:rsidRPr="00D53E0F">
        <w:rPr>
          <w:rFonts w:eastAsia="Times New Roman"/>
          <w:bCs/>
          <w:sz w:val="24"/>
          <w:szCs w:val="24"/>
        </w:rPr>
        <w:t xml:space="preserve"> Inventar</w:t>
      </w:r>
    </w:p>
    <w:p w14:paraId="7352A4F3"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der Erbe hat eine Zeitspanne von min. 1 Monat bis max. 3 Monaten (§ 1995 BGB)</w:t>
      </w:r>
    </w:p>
    <w:p w14:paraId="448EFCFB"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ggf. ist der Erbe durch den Antrag eines Nachlassgläubigers zur Errichtung verpflichtet (§ 1994 BGB)</w:t>
      </w:r>
    </w:p>
    <w:p w14:paraId="3C8C0904"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die Auflistung soll sämtliche Nachlassgegenstände und Nachlassverbindlichkeiten erhalten (§ 2001 BGB)</w:t>
      </w:r>
    </w:p>
    <w:p w14:paraId="6342C481"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zur Errichtung wird ein Beamter, die zuständige Behörde oder ein Notar benötigt (§ 2002 BGB)</w:t>
      </w:r>
    </w:p>
    <w:p w14:paraId="137971D7"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auf Antrag muss die eidesstaatliche Versicherung abgegeben werden (§ 2006 BGB); bei Verweigerung haftet der Erbe gegenüber dem Gläubiger, der den Antrag gestellt hat, wieder unbeschränkt (§ 2006 (3) BGB)</w:t>
      </w:r>
    </w:p>
    <w:p w14:paraId="35110AF1"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Wirkung: die Vermutung wird begründet, dass nur die Nachlassgegenstände existieren, die aufgelistet wurden</w:t>
      </w:r>
    </w:p>
    <w:p w14:paraId="69DD7E1D" w14:textId="77777777" w:rsidR="00EE07B1" w:rsidRPr="00D53E0F" w:rsidRDefault="00EE07B1" w:rsidP="00EE07B1">
      <w:pPr>
        <w:numPr>
          <w:ilvl w:val="0"/>
          <w:numId w:val="18"/>
        </w:numPr>
        <w:spacing w:line="240" w:lineRule="auto"/>
        <w:ind w:left="426"/>
        <w:rPr>
          <w:rFonts w:eastAsia="Times New Roman"/>
          <w:bCs/>
          <w:sz w:val="24"/>
          <w:szCs w:val="24"/>
        </w:rPr>
      </w:pPr>
      <w:r w:rsidRPr="00D53E0F">
        <w:rPr>
          <w:rFonts w:eastAsia="Times New Roman"/>
          <w:bCs/>
          <w:sz w:val="24"/>
          <w:szCs w:val="24"/>
        </w:rPr>
        <w:t>jeder der rechtliches Interesse hat, kann Einsicht nehmen (§ 2010 BGB)</w:t>
      </w:r>
    </w:p>
    <w:p w14:paraId="713C1212" w14:textId="77777777" w:rsidR="00EE07B1" w:rsidRPr="00D53E0F" w:rsidRDefault="00EE07B1" w:rsidP="00EE07B1">
      <w:pPr>
        <w:spacing w:line="240" w:lineRule="auto"/>
        <w:rPr>
          <w:rFonts w:eastAsia="Times New Roman"/>
          <w:bCs/>
          <w:sz w:val="24"/>
          <w:szCs w:val="24"/>
        </w:rPr>
      </w:pPr>
    </w:p>
    <w:p w14:paraId="288E4031"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gerichtliches Aufgebotsverfahren (§§ 1970 BGB ff.)</w:t>
      </w:r>
    </w:p>
    <w:p w14:paraId="744150D1" w14:textId="77777777" w:rsidR="00EE07B1" w:rsidRPr="00D53E0F" w:rsidRDefault="00EE07B1" w:rsidP="00EE07B1">
      <w:pPr>
        <w:numPr>
          <w:ilvl w:val="0"/>
          <w:numId w:val="19"/>
        </w:numPr>
        <w:spacing w:line="240" w:lineRule="auto"/>
        <w:ind w:left="426"/>
        <w:rPr>
          <w:rFonts w:eastAsia="Times New Roman"/>
          <w:bCs/>
          <w:sz w:val="24"/>
          <w:szCs w:val="24"/>
        </w:rPr>
      </w:pPr>
      <w:r w:rsidRPr="00D53E0F">
        <w:rPr>
          <w:rFonts w:eastAsia="Times New Roman"/>
          <w:bCs/>
          <w:sz w:val="24"/>
          <w:szCs w:val="24"/>
        </w:rPr>
        <w:t>findet Verwendung, wenn es den Erben nicht gelingt, sich einen Überblick zu verschaffen (Inventar)</w:t>
      </w:r>
    </w:p>
    <w:p w14:paraId="08C66AE6" w14:textId="77777777" w:rsidR="00EE07B1" w:rsidRPr="00D53E0F" w:rsidRDefault="00EE07B1" w:rsidP="00EE07B1">
      <w:pPr>
        <w:numPr>
          <w:ilvl w:val="0"/>
          <w:numId w:val="19"/>
        </w:numPr>
        <w:spacing w:line="240" w:lineRule="auto"/>
        <w:ind w:left="426"/>
        <w:rPr>
          <w:rFonts w:eastAsia="Times New Roman"/>
          <w:bCs/>
          <w:sz w:val="24"/>
          <w:szCs w:val="24"/>
        </w:rPr>
      </w:pPr>
      <w:r w:rsidRPr="00D53E0F">
        <w:rPr>
          <w:rFonts w:eastAsia="Times New Roman"/>
          <w:bCs/>
          <w:sz w:val="24"/>
          <w:szCs w:val="24"/>
        </w:rPr>
        <w:t>dabei sind dann die Nachlassgläubiger zur Anmeldung der Forderungen aufgefordert</w:t>
      </w:r>
    </w:p>
    <w:p w14:paraId="3EFFAE88" w14:textId="77777777" w:rsidR="00EE07B1" w:rsidRPr="00D53E0F" w:rsidRDefault="00EE07B1" w:rsidP="00EE07B1">
      <w:pPr>
        <w:numPr>
          <w:ilvl w:val="0"/>
          <w:numId w:val="19"/>
        </w:numPr>
        <w:spacing w:line="240" w:lineRule="auto"/>
        <w:ind w:left="426"/>
        <w:rPr>
          <w:rFonts w:eastAsia="Times New Roman"/>
          <w:bCs/>
          <w:sz w:val="24"/>
          <w:szCs w:val="24"/>
        </w:rPr>
      </w:pPr>
      <w:r w:rsidRPr="00D53E0F">
        <w:rPr>
          <w:rFonts w:eastAsia="Times New Roman"/>
          <w:bCs/>
          <w:sz w:val="24"/>
          <w:szCs w:val="24"/>
        </w:rPr>
        <w:t>die Dreimonatseinrede ist bis zur Beendigung des Aufgebotsverfahrens ausgedehnt (§ 2015 BGB)</w:t>
      </w:r>
    </w:p>
    <w:p w14:paraId="71D75AFD" w14:textId="77777777" w:rsidR="00EE07B1" w:rsidRPr="00D53E0F" w:rsidRDefault="00EE07B1" w:rsidP="00EE07B1">
      <w:pPr>
        <w:numPr>
          <w:ilvl w:val="0"/>
          <w:numId w:val="19"/>
        </w:numPr>
        <w:spacing w:line="240" w:lineRule="auto"/>
        <w:ind w:left="426"/>
        <w:rPr>
          <w:rFonts w:eastAsia="Times New Roman"/>
          <w:bCs/>
          <w:sz w:val="24"/>
          <w:szCs w:val="24"/>
        </w:rPr>
      </w:pPr>
      <w:r w:rsidRPr="00D53E0F">
        <w:rPr>
          <w:rFonts w:eastAsia="Times New Roman"/>
          <w:bCs/>
          <w:sz w:val="24"/>
          <w:szCs w:val="24"/>
        </w:rPr>
        <w:t>nicht angemeldete Nachlassgläubiger können nur noch aus dem Überschuss des Nachlasses befriedigt werden (§ 1973 BGB)</w:t>
      </w:r>
    </w:p>
    <w:p w14:paraId="6DCA95F7" w14:textId="77777777" w:rsidR="00EE07B1" w:rsidRPr="00D53E0F" w:rsidRDefault="00EE07B1" w:rsidP="00EE07B1">
      <w:pPr>
        <w:numPr>
          <w:ilvl w:val="0"/>
          <w:numId w:val="19"/>
        </w:numPr>
        <w:spacing w:line="240" w:lineRule="auto"/>
        <w:ind w:left="426"/>
        <w:rPr>
          <w:rFonts w:eastAsia="Times New Roman"/>
          <w:bCs/>
          <w:sz w:val="24"/>
          <w:szCs w:val="24"/>
        </w:rPr>
      </w:pPr>
      <w:r w:rsidRPr="00D53E0F">
        <w:rPr>
          <w:rFonts w:eastAsia="Times New Roman"/>
          <w:bCs/>
          <w:sz w:val="24"/>
          <w:szCs w:val="24"/>
        </w:rPr>
        <w:t>die angemeldeten Gläubiger genießen also Vorrang vor den ausgeschlossenen Gläubigern</w:t>
      </w:r>
    </w:p>
    <w:p w14:paraId="0FE820E4" w14:textId="77777777" w:rsidR="00EE07B1" w:rsidRPr="00D53E0F" w:rsidRDefault="00EE07B1" w:rsidP="00EE07B1">
      <w:pPr>
        <w:numPr>
          <w:ilvl w:val="0"/>
          <w:numId w:val="19"/>
        </w:numPr>
        <w:spacing w:line="240" w:lineRule="auto"/>
        <w:ind w:left="426"/>
        <w:rPr>
          <w:rFonts w:eastAsia="Times New Roman"/>
          <w:bCs/>
          <w:sz w:val="24"/>
          <w:szCs w:val="24"/>
        </w:rPr>
      </w:pPr>
      <w:r w:rsidRPr="00D53E0F">
        <w:rPr>
          <w:rFonts w:eastAsia="Times New Roman"/>
          <w:bCs/>
          <w:sz w:val="24"/>
          <w:szCs w:val="24"/>
        </w:rPr>
        <w:t>Vermächtnisnehmer, durch Auflagen Begünstigte und Pflichtteilsnehmer werden aber bevorzugt behandelt, wenn sie angemeldet sind (§ 1972 BGB)</w:t>
      </w:r>
    </w:p>
    <w:p w14:paraId="57427D8E" w14:textId="77777777" w:rsidR="00EE07B1" w:rsidRPr="00D53E0F" w:rsidRDefault="00EE07B1" w:rsidP="00EE07B1">
      <w:pPr>
        <w:spacing w:line="240" w:lineRule="auto"/>
        <w:rPr>
          <w:rFonts w:eastAsia="Times New Roman"/>
          <w:bCs/>
          <w:sz w:val="24"/>
          <w:szCs w:val="24"/>
        </w:rPr>
      </w:pPr>
    </w:p>
    <w:p w14:paraId="2CD7894D"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t>Nachlassverwaltung/ - Insolvenz (§ 1975 BGB + 1976 BGB)</w:t>
      </w:r>
    </w:p>
    <w:p w14:paraId="1CE664B1" w14:textId="4B8B9C15" w:rsidR="00EE07B1" w:rsidRPr="00223786" w:rsidRDefault="00EE07B1" w:rsidP="00EE07B1">
      <w:pPr>
        <w:numPr>
          <w:ilvl w:val="0"/>
          <w:numId w:val="20"/>
        </w:numPr>
        <w:spacing w:line="240" w:lineRule="auto"/>
        <w:ind w:left="426"/>
        <w:rPr>
          <w:rFonts w:eastAsia="Times New Roman"/>
          <w:bCs/>
          <w:sz w:val="24"/>
          <w:szCs w:val="24"/>
        </w:rPr>
      </w:pPr>
      <w:r w:rsidRPr="00D53E0F">
        <w:rPr>
          <w:rFonts w:eastAsia="Times New Roman"/>
          <w:bCs/>
          <w:sz w:val="24"/>
          <w:szCs w:val="24"/>
        </w:rPr>
        <w:t>wenn der Nachlass überschuldet ist, kann die Nachlassinsolvenz beantragt werden (§ 1980 BGB)</w:t>
      </w:r>
    </w:p>
    <w:p w14:paraId="4DB18E27" w14:textId="77777777" w:rsidR="00EE07B1" w:rsidRPr="00D53E0F" w:rsidRDefault="00EE07B1" w:rsidP="00EE07B1">
      <w:pPr>
        <w:spacing w:line="240" w:lineRule="auto"/>
        <w:rPr>
          <w:rFonts w:eastAsia="Times New Roman"/>
          <w:b/>
          <w:bCs/>
          <w:sz w:val="24"/>
          <w:szCs w:val="24"/>
        </w:rPr>
      </w:pPr>
      <w:r w:rsidRPr="00D53E0F">
        <w:rPr>
          <w:rFonts w:eastAsia="Times New Roman"/>
          <w:b/>
          <w:bCs/>
          <w:sz w:val="24"/>
          <w:szCs w:val="24"/>
        </w:rPr>
        <w:lastRenderedPageBreak/>
        <w:t>Verweisung auf den Nachlass</w:t>
      </w:r>
    </w:p>
    <w:p w14:paraId="2FA73C52" w14:textId="77777777" w:rsidR="00EE07B1" w:rsidRPr="00D53E0F" w:rsidRDefault="00EE07B1" w:rsidP="00EE07B1">
      <w:pPr>
        <w:numPr>
          <w:ilvl w:val="0"/>
          <w:numId w:val="21"/>
        </w:numPr>
        <w:spacing w:line="240" w:lineRule="auto"/>
        <w:ind w:left="426"/>
        <w:rPr>
          <w:rFonts w:eastAsia="Times New Roman"/>
          <w:bCs/>
          <w:sz w:val="24"/>
          <w:szCs w:val="24"/>
        </w:rPr>
      </w:pPr>
      <w:r w:rsidRPr="00D53E0F">
        <w:rPr>
          <w:rFonts w:eastAsia="Times New Roman"/>
          <w:bCs/>
          <w:sz w:val="24"/>
          <w:szCs w:val="24"/>
        </w:rPr>
        <w:t>wenn der Nachlass zu gering für eine Nachlassverwaltung oder Nachlassinsolvenz ist (Kosten), ist der Erbe verpflichtet, den Nachlass zur Befriedigung der Gläubiger herauszugeben, ggf. Zwangsvollstreckung des Nachlasses zu dulden</w:t>
      </w:r>
      <w:r>
        <w:rPr>
          <w:rFonts w:eastAsia="Times New Roman"/>
          <w:bCs/>
          <w:sz w:val="24"/>
          <w:szCs w:val="24"/>
        </w:rPr>
        <w:t xml:space="preserve"> (§ 1990 BGB)</w:t>
      </w:r>
    </w:p>
    <w:p w14:paraId="3DC1DA93" w14:textId="77777777" w:rsidR="00EE07B1" w:rsidRPr="00D53E0F" w:rsidRDefault="00EE07B1" w:rsidP="00EE07B1">
      <w:pPr>
        <w:spacing w:line="240" w:lineRule="auto"/>
        <w:rPr>
          <w:rFonts w:eastAsia="Times New Roman"/>
          <w:bCs/>
          <w:sz w:val="24"/>
          <w:szCs w:val="24"/>
        </w:rPr>
      </w:pPr>
    </w:p>
    <w:p w14:paraId="50EB0980" w14:textId="77777777" w:rsidR="00EE07B1" w:rsidRDefault="00EE07B1" w:rsidP="00EE07B1">
      <w:pPr>
        <w:spacing w:line="240" w:lineRule="auto"/>
        <w:rPr>
          <w:rFonts w:eastAsia="Times New Roman"/>
          <w:bCs/>
          <w:sz w:val="24"/>
          <w:szCs w:val="24"/>
        </w:rPr>
      </w:pPr>
    </w:p>
    <w:p w14:paraId="460BCF31" w14:textId="77777777" w:rsidR="00223786" w:rsidRPr="00D53E0F" w:rsidRDefault="00223786" w:rsidP="00EE07B1">
      <w:pPr>
        <w:spacing w:line="240" w:lineRule="auto"/>
        <w:rPr>
          <w:rFonts w:eastAsia="Times New Roman"/>
          <w:bCs/>
          <w:sz w:val="24"/>
          <w:szCs w:val="24"/>
        </w:rPr>
      </w:pPr>
    </w:p>
    <w:p w14:paraId="63D85401" w14:textId="2213ABCB" w:rsidR="00EE07B1" w:rsidRPr="00D53E0F" w:rsidRDefault="00EE07B1" w:rsidP="00EE07B1">
      <w:pPr>
        <w:spacing w:line="240" w:lineRule="auto"/>
        <w:rPr>
          <w:rFonts w:eastAsia="Times New Roman"/>
          <w:b/>
          <w:bCs/>
          <w:sz w:val="30"/>
          <w:szCs w:val="30"/>
        </w:rPr>
      </w:pPr>
      <w:r w:rsidRPr="00D53E0F">
        <w:rPr>
          <w:rFonts w:eastAsia="Times New Roman"/>
          <w:b/>
          <w:bCs/>
          <w:sz w:val="30"/>
          <w:szCs w:val="30"/>
        </w:rPr>
        <w:t xml:space="preserve">Nachlasssicherung / -pflegschaft </w:t>
      </w:r>
      <w:r w:rsidRPr="00D53E0F">
        <w:rPr>
          <w:rFonts w:eastAsia="Times New Roman"/>
          <w:bCs/>
          <w:sz w:val="24"/>
          <w:szCs w:val="24"/>
        </w:rPr>
        <w:t>§ 1960 BGB + § 1961 BGB</w:t>
      </w:r>
    </w:p>
    <w:p w14:paraId="7D1BA8C4" w14:textId="77777777" w:rsidR="00EE07B1" w:rsidRPr="00D53E0F" w:rsidRDefault="00EE07B1" w:rsidP="00EE07B1">
      <w:pPr>
        <w:spacing w:line="240" w:lineRule="auto"/>
        <w:rPr>
          <w:rFonts w:eastAsia="Times New Roman"/>
          <w:b/>
          <w:bCs/>
          <w:sz w:val="24"/>
          <w:szCs w:val="24"/>
        </w:rPr>
      </w:pPr>
    </w:p>
    <w:p w14:paraId="29265174" w14:textId="77777777"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wertvolle Gegenstände (Geldkarte, Handy, Urkunden, Bargeld) werden, solange die Erben unbekannt sind, beim Gericht abgegeben und sichergestellt, soweit ein Bedürfnis besteht (§ 1960 (1) BGB)</w:t>
      </w:r>
    </w:p>
    <w:p w14:paraId="3E0F987F" w14:textId="30A5CBAA"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w</w:t>
      </w:r>
      <w:r w:rsidR="00223786">
        <w:rPr>
          <w:rFonts w:eastAsia="Times New Roman"/>
          <w:bCs/>
          <w:sz w:val="24"/>
          <w:szCs w:val="24"/>
        </w:rPr>
        <w:t>e</w:t>
      </w:r>
      <w:r w:rsidRPr="00D53E0F">
        <w:rPr>
          <w:rFonts w:eastAsia="Times New Roman"/>
          <w:bCs/>
          <w:sz w:val="24"/>
          <w:szCs w:val="24"/>
        </w:rPr>
        <w:t>rd</w:t>
      </w:r>
      <w:r w:rsidR="00223786">
        <w:rPr>
          <w:rFonts w:eastAsia="Times New Roman"/>
          <w:bCs/>
          <w:sz w:val="24"/>
          <w:szCs w:val="24"/>
        </w:rPr>
        <w:t>en</w:t>
      </w:r>
      <w:r w:rsidRPr="00D53E0F">
        <w:rPr>
          <w:rFonts w:eastAsia="Times New Roman"/>
          <w:bCs/>
          <w:sz w:val="24"/>
          <w:szCs w:val="24"/>
        </w:rPr>
        <w:t xml:space="preserve"> meist von der Polizei, Krankenhaus oder Pflegeeinrichtungen, aber auch von Erben, die das Erbe ausschlagen, abgegeben</w:t>
      </w:r>
    </w:p>
    <w:p w14:paraId="775A134E" w14:textId="77777777"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 xml:space="preserve">für die Sicherung ist jedes Gericht zuständig, in dessen Bezirk das Bedürfnis zur Sicherheit besteht (§ 3344 (§) </w:t>
      </w:r>
      <w:proofErr w:type="spellStart"/>
      <w:r w:rsidRPr="00D53E0F">
        <w:rPr>
          <w:rFonts w:eastAsia="Times New Roman"/>
          <w:bCs/>
          <w:sz w:val="24"/>
          <w:szCs w:val="24"/>
        </w:rPr>
        <w:t>FamFG</w:t>
      </w:r>
      <w:proofErr w:type="spellEnd"/>
      <w:r w:rsidRPr="00D53E0F">
        <w:rPr>
          <w:rFonts w:eastAsia="Times New Roman"/>
          <w:bCs/>
          <w:sz w:val="24"/>
          <w:szCs w:val="24"/>
        </w:rPr>
        <w:t>)</w:t>
      </w:r>
    </w:p>
    <w:p w14:paraId="55A38900" w14:textId="77777777" w:rsidR="00EE07B1" w:rsidRPr="00D53E0F" w:rsidRDefault="00EE07B1" w:rsidP="00EE07B1">
      <w:pPr>
        <w:numPr>
          <w:ilvl w:val="0"/>
          <w:numId w:val="8"/>
        </w:numPr>
        <w:spacing w:line="240" w:lineRule="auto"/>
        <w:ind w:left="426"/>
        <w:rPr>
          <w:rFonts w:eastAsia="Times New Roman"/>
          <w:bCs/>
          <w:i/>
          <w:sz w:val="24"/>
          <w:szCs w:val="24"/>
        </w:rPr>
      </w:pPr>
      <w:r w:rsidRPr="00D53E0F">
        <w:rPr>
          <w:rFonts w:eastAsia="Times New Roman"/>
          <w:bCs/>
          <w:i/>
          <w:sz w:val="24"/>
          <w:szCs w:val="24"/>
        </w:rPr>
        <w:t xml:space="preserve">Praxis: nur das zuständige Amtsgericht </w:t>
      </w:r>
    </w:p>
    <w:p w14:paraId="7DCBB3F7" w14:textId="77777777"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 xml:space="preserve">wenn keine Erben vorhanden sind oder alle ausgeschlagen haben, aber immer noch Nachlasswert in gewisser Höhe vorhanden ist oder ein Sicherungsbedürfnis besteht, wird ein </w:t>
      </w:r>
      <w:r w:rsidRPr="00D53E0F">
        <w:rPr>
          <w:rFonts w:eastAsia="Times New Roman"/>
          <w:b/>
          <w:bCs/>
          <w:sz w:val="24"/>
          <w:szCs w:val="24"/>
        </w:rPr>
        <w:t>Nachlasspfleger</w:t>
      </w:r>
      <w:r w:rsidRPr="00D53E0F">
        <w:rPr>
          <w:rFonts w:eastAsia="Times New Roman"/>
          <w:bCs/>
          <w:sz w:val="24"/>
          <w:szCs w:val="24"/>
        </w:rPr>
        <w:t xml:space="preserve"> bestellt</w:t>
      </w:r>
    </w:p>
    <w:p w14:paraId="0AC40B50" w14:textId="77777777"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der Nachlasspfleger vertritt die unbekannten Erben</w:t>
      </w:r>
    </w:p>
    <w:p w14:paraId="1DF2A3DA" w14:textId="77777777"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er wird vom Gericht durch Beschluss gestimmt und erhält als Nachweis eine Bestallungsurkunde</w:t>
      </w:r>
    </w:p>
    <w:p w14:paraId="0084A6FC" w14:textId="3456A14F"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 xml:space="preserve">beim Anlegen des Verfahrens </w:t>
      </w:r>
      <w:r w:rsidR="00223786" w:rsidRPr="00D53E0F">
        <w:rPr>
          <w:rFonts w:eastAsia="Times New Roman"/>
          <w:bCs/>
          <w:sz w:val="24"/>
          <w:szCs w:val="24"/>
        </w:rPr>
        <w:t>wird ein</w:t>
      </w:r>
      <w:r w:rsidRPr="00D53E0F">
        <w:rPr>
          <w:rFonts w:eastAsia="Times New Roman"/>
          <w:bCs/>
          <w:sz w:val="24"/>
          <w:szCs w:val="24"/>
        </w:rPr>
        <w:t xml:space="preserve"> Nachlassverzeichnis vorgeheftet </w:t>
      </w:r>
    </w:p>
    <w:p w14:paraId="7C06BB47" w14:textId="77777777" w:rsidR="00EE07B1" w:rsidRPr="00D53E0F" w:rsidRDefault="00EE07B1" w:rsidP="00EE07B1">
      <w:pPr>
        <w:spacing w:line="240" w:lineRule="auto"/>
        <w:ind w:firstLine="426"/>
        <w:rPr>
          <w:rFonts w:eastAsia="Times New Roman"/>
          <w:bCs/>
          <w:sz w:val="24"/>
          <w:szCs w:val="24"/>
        </w:rPr>
      </w:pPr>
      <w:r w:rsidRPr="00D53E0F">
        <w:rPr>
          <w:rFonts w:eastAsia="Times New Roman"/>
          <w:bCs/>
          <w:sz w:val="24"/>
          <w:szCs w:val="24"/>
        </w:rPr>
        <w:t xml:space="preserve">(Formular: AO 8) (§ 28 (7) </w:t>
      </w:r>
      <w:proofErr w:type="spellStart"/>
      <w:r w:rsidRPr="00D53E0F">
        <w:rPr>
          <w:rFonts w:eastAsia="Times New Roman"/>
          <w:bCs/>
          <w:sz w:val="24"/>
          <w:szCs w:val="24"/>
        </w:rPr>
        <w:t>AktO</w:t>
      </w:r>
      <w:proofErr w:type="spellEnd"/>
      <w:r w:rsidRPr="00D53E0F">
        <w:rPr>
          <w:rFonts w:eastAsia="Times New Roman"/>
          <w:bCs/>
          <w:sz w:val="24"/>
          <w:szCs w:val="24"/>
        </w:rPr>
        <w:t>)</w:t>
      </w:r>
    </w:p>
    <w:p w14:paraId="294B99AB" w14:textId="77777777" w:rsidR="00EE07B1" w:rsidRPr="00D53E0F" w:rsidRDefault="00EE07B1" w:rsidP="00EE07B1">
      <w:pPr>
        <w:spacing w:line="240" w:lineRule="auto"/>
        <w:rPr>
          <w:rFonts w:eastAsia="Times New Roman"/>
          <w:bCs/>
          <w:sz w:val="24"/>
          <w:szCs w:val="24"/>
        </w:rPr>
      </w:pPr>
    </w:p>
    <w:p w14:paraId="5452F256" w14:textId="77777777" w:rsidR="00EE07B1" w:rsidRPr="00D53E0F" w:rsidRDefault="00EE07B1" w:rsidP="00EE07B1">
      <w:pPr>
        <w:numPr>
          <w:ilvl w:val="0"/>
          <w:numId w:val="8"/>
        </w:numPr>
        <w:spacing w:line="240" w:lineRule="auto"/>
        <w:ind w:left="426"/>
        <w:rPr>
          <w:rFonts w:eastAsia="Times New Roman"/>
          <w:bCs/>
          <w:sz w:val="24"/>
          <w:szCs w:val="24"/>
        </w:rPr>
      </w:pPr>
      <w:r w:rsidRPr="00D53E0F">
        <w:rPr>
          <w:rFonts w:eastAsia="Times New Roman"/>
          <w:bCs/>
          <w:sz w:val="24"/>
          <w:szCs w:val="24"/>
        </w:rPr>
        <w:t>sein Aufgabenkreis ist hauptsächlich die Sicherung und Verwaltung des Nachlasses sowie die Ermittlung der Erben</w:t>
      </w:r>
    </w:p>
    <w:p w14:paraId="0D27B672" w14:textId="77777777" w:rsidR="00EE07B1" w:rsidRPr="00D53E0F" w:rsidRDefault="00EE07B1" w:rsidP="00EE07B1">
      <w:pPr>
        <w:spacing w:line="240" w:lineRule="auto"/>
        <w:rPr>
          <w:rFonts w:eastAsia="Times New Roman"/>
          <w:bCs/>
          <w:sz w:val="24"/>
          <w:szCs w:val="24"/>
        </w:rPr>
      </w:pPr>
    </w:p>
    <w:p w14:paraId="478EE7CA" w14:textId="77777777"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weitere Aufgaben sind:</w:t>
      </w:r>
    </w:p>
    <w:p w14:paraId="505F08F3" w14:textId="77777777" w:rsidR="00EE07B1" w:rsidRPr="00D53E0F" w:rsidRDefault="00EE07B1" w:rsidP="00EE07B1">
      <w:pPr>
        <w:numPr>
          <w:ilvl w:val="0"/>
          <w:numId w:val="9"/>
        </w:numPr>
        <w:spacing w:line="240" w:lineRule="auto"/>
        <w:ind w:left="426"/>
        <w:rPr>
          <w:rFonts w:eastAsia="Times New Roman"/>
          <w:bCs/>
          <w:sz w:val="24"/>
          <w:szCs w:val="24"/>
        </w:rPr>
      </w:pPr>
      <w:r w:rsidRPr="00D53E0F">
        <w:rPr>
          <w:rFonts w:eastAsia="Times New Roman"/>
          <w:bCs/>
          <w:sz w:val="24"/>
          <w:szCs w:val="24"/>
        </w:rPr>
        <w:t xml:space="preserve">Wohnungsauflösung </w:t>
      </w:r>
      <w:r w:rsidRPr="00D53E0F">
        <w:rPr>
          <w:rFonts w:eastAsia="Times New Roman" w:cs="Arial"/>
          <w:bCs/>
          <w:sz w:val="24"/>
          <w:szCs w:val="24"/>
        </w:rPr>
        <w:t>→</w:t>
      </w:r>
      <w:r w:rsidRPr="00D53E0F">
        <w:rPr>
          <w:rFonts w:eastAsia="Times New Roman"/>
          <w:bCs/>
          <w:sz w:val="24"/>
          <w:szCs w:val="24"/>
        </w:rPr>
        <w:t xml:space="preserve"> Verwertung des Hausrates</w:t>
      </w:r>
    </w:p>
    <w:p w14:paraId="68E72093" w14:textId="77777777" w:rsidR="00EE07B1" w:rsidRPr="00D53E0F" w:rsidRDefault="00EE07B1" w:rsidP="00EE07B1">
      <w:pPr>
        <w:numPr>
          <w:ilvl w:val="0"/>
          <w:numId w:val="9"/>
        </w:numPr>
        <w:spacing w:line="240" w:lineRule="auto"/>
        <w:ind w:left="426"/>
        <w:rPr>
          <w:rFonts w:eastAsia="Times New Roman"/>
          <w:bCs/>
          <w:sz w:val="24"/>
          <w:szCs w:val="24"/>
        </w:rPr>
      </w:pPr>
      <w:r w:rsidRPr="00D53E0F">
        <w:rPr>
          <w:rFonts w:eastAsia="Times New Roman"/>
          <w:bCs/>
          <w:sz w:val="24"/>
          <w:szCs w:val="24"/>
        </w:rPr>
        <w:t xml:space="preserve">einen Überblick über den Nachlass zu schaffen </w:t>
      </w:r>
      <w:r w:rsidRPr="00D53E0F">
        <w:rPr>
          <w:rFonts w:eastAsia="Times New Roman" w:cs="Arial"/>
          <w:bCs/>
          <w:sz w:val="24"/>
          <w:szCs w:val="24"/>
        </w:rPr>
        <w:t>→</w:t>
      </w:r>
      <w:r w:rsidRPr="00D53E0F">
        <w:rPr>
          <w:rFonts w:eastAsia="Times New Roman"/>
          <w:bCs/>
          <w:sz w:val="24"/>
          <w:szCs w:val="24"/>
        </w:rPr>
        <w:t xml:space="preserve"> Erstellung eines Vermögensverzeichnisses </w:t>
      </w:r>
    </w:p>
    <w:p w14:paraId="05D9A07E" w14:textId="77777777" w:rsidR="00EE07B1" w:rsidRPr="00D53E0F" w:rsidRDefault="00EE07B1" w:rsidP="00EE07B1">
      <w:pPr>
        <w:numPr>
          <w:ilvl w:val="0"/>
          <w:numId w:val="9"/>
        </w:numPr>
        <w:spacing w:line="240" w:lineRule="auto"/>
        <w:ind w:left="426"/>
        <w:rPr>
          <w:rFonts w:eastAsia="Times New Roman"/>
          <w:bCs/>
          <w:sz w:val="24"/>
          <w:szCs w:val="24"/>
        </w:rPr>
      </w:pPr>
      <w:r w:rsidRPr="00D53E0F">
        <w:rPr>
          <w:rFonts w:eastAsia="Times New Roman"/>
          <w:bCs/>
          <w:sz w:val="24"/>
          <w:szCs w:val="24"/>
        </w:rPr>
        <w:t xml:space="preserve">Bericht und Rechnungslegung gegenüber dem zuständigen Nachlassgericht </w:t>
      </w:r>
    </w:p>
    <w:p w14:paraId="08EEA345" w14:textId="77777777" w:rsidR="00EE07B1" w:rsidRPr="00D53E0F" w:rsidRDefault="00EE07B1" w:rsidP="00EE07B1">
      <w:pPr>
        <w:numPr>
          <w:ilvl w:val="0"/>
          <w:numId w:val="9"/>
        </w:numPr>
        <w:spacing w:line="240" w:lineRule="auto"/>
        <w:ind w:left="426"/>
        <w:rPr>
          <w:rFonts w:eastAsia="Times New Roman"/>
          <w:bCs/>
          <w:sz w:val="24"/>
          <w:szCs w:val="24"/>
        </w:rPr>
      </w:pPr>
      <w:r w:rsidRPr="00D53E0F">
        <w:rPr>
          <w:rFonts w:eastAsia="Times New Roman"/>
          <w:bCs/>
          <w:sz w:val="24"/>
          <w:szCs w:val="24"/>
        </w:rPr>
        <w:t>Herausgabe des Nachlasses an die späteren Erben</w:t>
      </w:r>
    </w:p>
    <w:p w14:paraId="45FA48F6" w14:textId="77777777" w:rsidR="00EE07B1" w:rsidRPr="00D53E0F" w:rsidRDefault="00EE07B1" w:rsidP="00EE07B1">
      <w:pPr>
        <w:spacing w:line="240" w:lineRule="auto"/>
        <w:rPr>
          <w:rFonts w:eastAsia="Times New Roman"/>
          <w:bCs/>
          <w:sz w:val="24"/>
          <w:szCs w:val="24"/>
        </w:rPr>
      </w:pPr>
    </w:p>
    <w:p w14:paraId="2DCDD65E" w14:textId="77777777" w:rsidR="00EE07B1" w:rsidRPr="00D53E0F" w:rsidRDefault="00EE07B1" w:rsidP="00EE07B1">
      <w:pPr>
        <w:numPr>
          <w:ilvl w:val="0"/>
          <w:numId w:val="9"/>
        </w:numPr>
        <w:spacing w:line="240" w:lineRule="auto"/>
        <w:ind w:left="426"/>
        <w:rPr>
          <w:rFonts w:eastAsia="Times New Roman"/>
          <w:bCs/>
          <w:sz w:val="24"/>
          <w:szCs w:val="24"/>
        </w:rPr>
      </w:pPr>
      <w:r w:rsidRPr="00D53E0F">
        <w:rPr>
          <w:rFonts w:eastAsia="Times New Roman"/>
          <w:bCs/>
          <w:sz w:val="24"/>
          <w:szCs w:val="24"/>
        </w:rPr>
        <w:t>er ist Ansprechpartner für Gläubiger/Schuldner, ggf. begleicht er die Rechnung</w:t>
      </w:r>
    </w:p>
    <w:p w14:paraId="4CA59530" w14:textId="77777777" w:rsidR="00EE07B1" w:rsidRPr="00D53E0F" w:rsidRDefault="00EE07B1" w:rsidP="00EE07B1">
      <w:pPr>
        <w:numPr>
          <w:ilvl w:val="0"/>
          <w:numId w:val="9"/>
        </w:numPr>
        <w:spacing w:line="240" w:lineRule="auto"/>
        <w:ind w:left="426"/>
        <w:rPr>
          <w:rFonts w:eastAsia="Times New Roman"/>
          <w:bCs/>
          <w:sz w:val="24"/>
          <w:szCs w:val="24"/>
        </w:rPr>
      </w:pPr>
      <w:r w:rsidRPr="00D53E0F">
        <w:rPr>
          <w:rFonts w:eastAsia="Times New Roman"/>
          <w:bCs/>
          <w:sz w:val="24"/>
          <w:szCs w:val="24"/>
        </w:rPr>
        <w:t>die Tätigkeit endet mit vollständiger Abwicklung des Nachlasses [alles veräußert, beglichen, ggf. wird das Vermögen hinterlegt beim AG Tiergarten – Hinterlegungsstelle (zentral)] oder wenn die beteiligten Erben feststehen</w:t>
      </w:r>
    </w:p>
    <w:p w14:paraId="57BDB515" w14:textId="77777777" w:rsidR="00EE07B1" w:rsidRPr="00D53E0F" w:rsidRDefault="00EE07B1" w:rsidP="00EE07B1">
      <w:pPr>
        <w:spacing w:line="240" w:lineRule="auto"/>
        <w:rPr>
          <w:rFonts w:eastAsia="Times New Roman"/>
          <w:bCs/>
          <w:sz w:val="24"/>
          <w:szCs w:val="24"/>
        </w:rPr>
      </w:pPr>
    </w:p>
    <w:p w14:paraId="32C3CCFE" w14:textId="77777777" w:rsidR="00EE07B1" w:rsidRPr="00D53E0F" w:rsidRDefault="00EE07B1" w:rsidP="00EE07B1">
      <w:pPr>
        <w:spacing w:line="240" w:lineRule="auto"/>
        <w:rPr>
          <w:rFonts w:eastAsia="Times New Roman"/>
          <w:bCs/>
          <w:sz w:val="24"/>
          <w:szCs w:val="24"/>
        </w:rPr>
      </w:pPr>
    </w:p>
    <w:p w14:paraId="1C9C0A3D" w14:textId="77777777" w:rsidR="00EE07B1" w:rsidRPr="00D53E0F" w:rsidRDefault="00EE07B1" w:rsidP="00EE07B1">
      <w:pPr>
        <w:spacing w:line="240" w:lineRule="auto"/>
        <w:rPr>
          <w:rFonts w:eastAsia="Times New Roman"/>
          <w:bCs/>
          <w:sz w:val="24"/>
          <w:szCs w:val="24"/>
        </w:rPr>
      </w:pPr>
    </w:p>
    <w:p w14:paraId="29418819" w14:textId="77777777"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AR – Allgemeines Register</w:t>
      </w:r>
    </w:p>
    <w:p w14:paraId="520EFAED" w14:textId="77777777" w:rsidR="00EE07B1" w:rsidRPr="00D53E0F" w:rsidRDefault="00EE07B1" w:rsidP="00EE07B1">
      <w:pPr>
        <w:spacing w:line="240" w:lineRule="auto"/>
        <w:rPr>
          <w:rFonts w:eastAsia="Times New Roman"/>
          <w:bCs/>
          <w:sz w:val="24"/>
          <w:szCs w:val="24"/>
        </w:rPr>
      </w:pPr>
    </w:p>
    <w:p w14:paraId="23BD39C1" w14:textId="77777777" w:rsidR="00EE07B1" w:rsidRPr="00D53E0F" w:rsidRDefault="00EE07B1" w:rsidP="00EE07B1">
      <w:pPr>
        <w:numPr>
          <w:ilvl w:val="0"/>
          <w:numId w:val="12"/>
        </w:numPr>
        <w:spacing w:line="240" w:lineRule="auto"/>
        <w:ind w:left="426"/>
        <w:rPr>
          <w:rFonts w:eastAsia="Times New Roman"/>
          <w:bCs/>
          <w:sz w:val="24"/>
          <w:szCs w:val="24"/>
        </w:rPr>
      </w:pPr>
      <w:r w:rsidRPr="00D53E0F">
        <w:rPr>
          <w:rFonts w:eastAsia="Times New Roman"/>
          <w:bCs/>
          <w:sz w:val="24"/>
          <w:szCs w:val="24"/>
        </w:rPr>
        <w:t>wenn Vorgang nicht eindeutig zugeordnet werden kann</w:t>
      </w:r>
    </w:p>
    <w:p w14:paraId="2D5D6AEB" w14:textId="77777777" w:rsidR="00EE07B1" w:rsidRPr="00D53E0F" w:rsidRDefault="00EE07B1" w:rsidP="00EE07B1">
      <w:pPr>
        <w:numPr>
          <w:ilvl w:val="0"/>
          <w:numId w:val="12"/>
        </w:numPr>
        <w:spacing w:line="240" w:lineRule="auto"/>
        <w:ind w:left="426"/>
        <w:rPr>
          <w:rFonts w:eastAsia="Times New Roman"/>
          <w:bCs/>
          <w:sz w:val="24"/>
          <w:szCs w:val="24"/>
        </w:rPr>
      </w:pPr>
      <w:r w:rsidRPr="00D53E0F">
        <w:rPr>
          <w:rFonts w:eastAsia="Times New Roman"/>
          <w:bCs/>
          <w:sz w:val="24"/>
          <w:szCs w:val="24"/>
        </w:rPr>
        <w:t xml:space="preserve">wenn Testament vom anderen Gericht zurückgegeben wird (§ 27 (8) </w:t>
      </w:r>
      <w:proofErr w:type="spellStart"/>
      <w:r w:rsidRPr="00D53E0F">
        <w:rPr>
          <w:rFonts w:eastAsia="Times New Roman"/>
          <w:bCs/>
          <w:sz w:val="24"/>
          <w:szCs w:val="24"/>
        </w:rPr>
        <w:t>AktO</w:t>
      </w:r>
      <w:proofErr w:type="spellEnd"/>
      <w:r w:rsidRPr="00D53E0F">
        <w:rPr>
          <w:rFonts w:eastAsia="Times New Roman"/>
          <w:bCs/>
          <w:sz w:val="24"/>
          <w:szCs w:val="24"/>
        </w:rPr>
        <w:t>)</w:t>
      </w:r>
    </w:p>
    <w:p w14:paraId="73DB8FFC" w14:textId="77777777" w:rsidR="00EE07B1" w:rsidRDefault="00EE07B1" w:rsidP="00EE07B1">
      <w:pPr>
        <w:numPr>
          <w:ilvl w:val="0"/>
          <w:numId w:val="12"/>
        </w:numPr>
        <w:spacing w:line="240" w:lineRule="auto"/>
        <w:ind w:left="426"/>
        <w:rPr>
          <w:rFonts w:eastAsia="Times New Roman"/>
          <w:bCs/>
          <w:sz w:val="24"/>
          <w:szCs w:val="24"/>
        </w:rPr>
      </w:pPr>
      <w:r w:rsidRPr="00D53E0F">
        <w:rPr>
          <w:rFonts w:eastAsia="Times New Roman"/>
          <w:bCs/>
          <w:sz w:val="24"/>
          <w:szCs w:val="24"/>
        </w:rPr>
        <w:t>Aufbewahrung: 2 Jahre (Aufbewahrungsbestimmungen Abschnitt A)</w:t>
      </w:r>
    </w:p>
    <w:p w14:paraId="1C0771C2" w14:textId="22231FB5" w:rsidR="006671D8" w:rsidRPr="00D53E0F" w:rsidRDefault="006671D8" w:rsidP="00EE07B1">
      <w:pPr>
        <w:numPr>
          <w:ilvl w:val="0"/>
          <w:numId w:val="12"/>
        </w:numPr>
        <w:spacing w:line="240" w:lineRule="auto"/>
        <w:ind w:left="426"/>
        <w:rPr>
          <w:rFonts w:eastAsia="Times New Roman"/>
          <w:bCs/>
          <w:sz w:val="24"/>
          <w:szCs w:val="24"/>
        </w:rPr>
      </w:pPr>
      <w:r>
        <w:rPr>
          <w:rFonts w:eastAsia="Times New Roman"/>
          <w:bCs/>
          <w:sz w:val="24"/>
          <w:szCs w:val="24"/>
        </w:rPr>
        <w:t xml:space="preserve">Akteneinsicht durch Dritte z.B. Erben oder Genealogen  </w:t>
      </w:r>
    </w:p>
    <w:p w14:paraId="492FB5DA" w14:textId="77777777" w:rsidR="00EE07B1" w:rsidRDefault="00EE07B1" w:rsidP="00EE07B1">
      <w:pPr>
        <w:spacing w:line="240" w:lineRule="auto"/>
        <w:rPr>
          <w:rFonts w:eastAsia="Times New Roman"/>
          <w:bCs/>
          <w:sz w:val="24"/>
          <w:szCs w:val="24"/>
        </w:rPr>
      </w:pPr>
    </w:p>
    <w:p w14:paraId="4660370C" w14:textId="77777777" w:rsidR="00EE07B1" w:rsidRPr="00D53E0F" w:rsidRDefault="00EE07B1" w:rsidP="00EE07B1">
      <w:pPr>
        <w:spacing w:line="240" w:lineRule="auto"/>
        <w:rPr>
          <w:rFonts w:eastAsia="Times New Roman"/>
          <w:bCs/>
          <w:sz w:val="24"/>
          <w:szCs w:val="24"/>
        </w:rPr>
      </w:pPr>
    </w:p>
    <w:p w14:paraId="742CB2CE" w14:textId="62C45E01" w:rsidR="00EE07B1" w:rsidRPr="00D53E0F" w:rsidRDefault="00EE07B1" w:rsidP="00EE07B1">
      <w:pPr>
        <w:spacing w:line="240" w:lineRule="auto"/>
        <w:rPr>
          <w:rFonts w:eastAsia="Times New Roman"/>
          <w:bCs/>
          <w:sz w:val="24"/>
          <w:szCs w:val="24"/>
          <w:u w:val="single"/>
        </w:rPr>
      </w:pPr>
      <w:r w:rsidRPr="00D53E0F">
        <w:rPr>
          <w:rFonts w:eastAsia="Times New Roman"/>
          <w:bCs/>
          <w:sz w:val="24"/>
          <w:szCs w:val="24"/>
          <w:u w:val="single"/>
        </w:rPr>
        <w:t>A</w:t>
      </w:r>
      <w:r w:rsidR="00223786">
        <w:rPr>
          <w:rFonts w:eastAsia="Times New Roman"/>
          <w:bCs/>
          <w:sz w:val="24"/>
          <w:szCs w:val="24"/>
          <w:u w:val="single"/>
        </w:rPr>
        <w:t>R</w:t>
      </w:r>
      <w:r w:rsidRPr="00D53E0F">
        <w:rPr>
          <w:rFonts w:eastAsia="Times New Roman"/>
          <w:bCs/>
          <w:sz w:val="24"/>
          <w:szCs w:val="24"/>
          <w:u w:val="single"/>
        </w:rPr>
        <w:t>-Verwaltung</w:t>
      </w:r>
    </w:p>
    <w:p w14:paraId="71D474CE" w14:textId="77777777" w:rsidR="00EE07B1" w:rsidRPr="00D53E0F" w:rsidRDefault="00EE07B1" w:rsidP="00EE07B1">
      <w:pPr>
        <w:spacing w:line="240" w:lineRule="auto"/>
        <w:rPr>
          <w:rFonts w:eastAsia="Times New Roman"/>
          <w:bCs/>
          <w:sz w:val="24"/>
          <w:szCs w:val="24"/>
        </w:rPr>
      </w:pPr>
    </w:p>
    <w:p w14:paraId="7E91F94B" w14:textId="77777777" w:rsidR="00EE07B1" w:rsidRPr="00D53E0F" w:rsidRDefault="00EE07B1" w:rsidP="00EE07B1">
      <w:pPr>
        <w:numPr>
          <w:ilvl w:val="0"/>
          <w:numId w:val="13"/>
        </w:numPr>
        <w:spacing w:line="240" w:lineRule="auto"/>
        <w:ind w:left="426"/>
        <w:rPr>
          <w:rFonts w:eastAsia="Times New Roman"/>
          <w:bCs/>
          <w:sz w:val="24"/>
          <w:szCs w:val="24"/>
        </w:rPr>
      </w:pPr>
      <w:r w:rsidRPr="00D53E0F">
        <w:rPr>
          <w:rFonts w:eastAsia="Times New Roman"/>
          <w:bCs/>
          <w:sz w:val="24"/>
          <w:szCs w:val="24"/>
        </w:rPr>
        <w:t>wird angelegt, wenn eine Anfrage von Dritten kommt (z.B. Gläubiger) und kein Verfahren anhängig ist</w:t>
      </w:r>
    </w:p>
    <w:p w14:paraId="5DC88E02" w14:textId="77777777" w:rsidR="00223786" w:rsidRDefault="00223786" w:rsidP="00223786">
      <w:pPr>
        <w:spacing w:line="240" w:lineRule="auto"/>
        <w:ind w:left="66"/>
        <w:rPr>
          <w:rFonts w:eastAsia="Times New Roman"/>
          <w:bCs/>
          <w:sz w:val="24"/>
          <w:szCs w:val="24"/>
        </w:rPr>
      </w:pPr>
    </w:p>
    <w:p w14:paraId="4115B931" w14:textId="71E0F29E" w:rsidR="00EE07B1" w:rsidRDefault="00223786" w:rsidP="00223786">
      <w:pPr>
        <w:spacing w:line="240" w:lineRule="auto"/>
        <w:ind w:left="426"/>
        <w:rPr>
          <w:rFonts w:eastAsia="Times New Roman"/>
          <w:bCs/>
          <w:sz w:val="24"/>
          <w:szCs w:val="24"/>
        </w:rPr>
      </w:pPr>
      <w:r>
        <w:rPr>
          <w:rFonts w:eastAsia="Times New Roman"/>
          <w:bCs/>
          <w:sz w:val="24"/>
          <w:szCs w:val="24"/>
        </w:rPr>
        <w:t>Kosten = 15,00€</w:t>
      </w:r>
    </w:p>
    <w:p w14:paraId="0AF434A8" w14:textId="1117A683" w:rsidR="00223786" w:rsidRDefault="00223786" w:rsidP="00223786">
      <w:pPr>
        <w:spacing w:line="240" w:lineRule="auto"/>
        <w:ind w:left="426"/>
        <w:rPr>
          <w:rFonts w:eastAsia="Times New Roman"/>
          <w:bCs/>
          <w:sz w:val="24"/>
          <w:szCs w:val="24"/>
        </w:rPr>
      </w:pPr>
      <w:r>
        <w:rPr>
          <w:rFonts w:eastAsia="Times New Roman"/>
          <w:bCs/>
          <w:sz w:val="24"/>
          <w:szCs w:val="24"/>
        </w:rPr>
        <w:t>durch Kostenrechnung KV Nr. 1401j</w:t>
      </w:r>
    </w:p>
    <w:p w14:paraId="7EF004CF" w14:textId="215D6C74" w:rsidR="00223786" w:rsidRDefault="00223786" w:rsidP="00223786">
      <w:pPr>
        <w:spacing w:line="240" w:lineRule="auto"/>
        <w:ind w:left="426"/>
        <w:rPr>
          <w:rFonts w:eastAsia="Times New Roman"/>
          <w:bCs/>
          <w:sz w:val="24"/>
          <w:szCs w:val="24"/>
        </w:rPr>
      </w:pPr>
      <w:r>
        <w:rPr>
          <w:rFonts w:eastAsia="Times New Roman"/>
          <w:bCs/>
          <w:sz w:val="24"/>
          <w:szCs w:val="24"/>
        </w:rPr>
        <w:t>wird durch die Geschäftsstelle veranlasst</w:t>
      </w:r>
    </w:p>
    <w:p w14:paraId="2BA1E7EF" w14:textId="77777777" w:rsidR="00223786" w:rsidRDefault="00223786" w:rsidP="00223786">
      <w:pPr>
        <w:spacing w:line="240" w:lineRule="auto"/>
        <w:ind w:left="426"/>
        <w:rPr>
          <w:rFonts w:eastAsia="Times New Roman"/>
          <w:bCs/>
          <w:sz w:val="24"/>
          <w:szCs w:val="24"/>
        </w:rPr>
      </w:pPr>
    </w:p>
    <w:p w14:paraId="55244A2C" w14:textId="4CAC95ED" w:rsidR="00223786" w:rsidRPr="00D53E0F" w:rsidRDefault="00223786" w:rsidP="00223786">
      <w:pPr>
        <w:spacing w:line="240" w:lineRule="auto"/>
        <w:ind w:left="426"/>
        <w:rPr>
          <w:rFonts w:eastAsia="Times New Roman"/>
          <w:bCs/>
          <w:sz w:val="24"/>
          <w:szCs w:val="24"/>
        </w:rPr>
      </w:pPr>
      <w:r>
        <w:rPr>
          <w:rFonts w:eastAsia="Times New Roman"/>
          <w:bCs/>
          <w:sz w:val="24"/>
          <w:szCs w:val="24"/>
        </w:rPr>
        <w:t>Aufbewahrung 2 Jahre</w:t>
      </w:r>
    </w:p>
    <w:p w14:paraId="796E6BE2" w14:textId="77777777" w:rsidR="00EE07B1" w:rsidRPr="00C37EDD" w:rsidRDefault="00EE07B1" w:rsidP="00EE07B1">
      <w:pPr>
        <w:pStyle w:val="Listenabsatz"/>
        <w:spacing w:line="360" w:lineRule="auto"/>
        <w:ind w:left="360"/>
        <w:rPr>
          <w:sz w:val="28"/>
          <w:szCs w:val="28"/>
        </w:rPr>
      </w:pPr>
    </w:p>
    <w:p w14:paraId="495B66A5" w14:textId="77777777" w:rsidR="003339E4" w:rsidRDefault="003339E4"/>
    <w:sectPr w:rsidR="003339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994"/>
    <w:multiLevelType w:val="hybridMultilevel"/>
    <w:tmpl w:val="DAAA66B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6C4BDD"/>
    <w:multiLevelType w:val="hybridMultilevel"/>
    <w:tmpl w:val="6A78073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A753A6"/>
    <w:multiLevelType w:val="hybridMultilevel"/>
    <w:tmpl w:val="DBCCBAA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9A5BFE"/>
    <w:multiLevelType w:val="hybridMultilevel"/>
    <w:tmpl w:val="CC80086A"/>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413D9F"/>
    <w:multiLevelType w:val="hybridMultilevel"/>
    <w:tmpl w:val="995E149A"/>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1232B"/>
    <w:multiLevelType w:val="hybridMultilevel"/>
    <w:tmpl w:val="DB66572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1A3400"/>
    <w:multiLevelType w:val="hybridMultilevel"/>
    <w:tmpl w:val="2A06705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997BC8"/>
    <w:multiLevelType w:val="hybridMultilevel"/>
    <w:tmpl w:val="B5FE87F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33D27"/>
    <w:multiLevelType w:val="hybridMultilevel"/>
    <w:tmpl w:val="71E84DE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F83FB1"/>
    <w:multiLevelType w:val="hybridMultilevel"/>
    <w:tmpl w:val="30F8F6E4"/>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7620F"/>
    <w:multiLevelType w:val="hybridMultilevel"/>
    <w:tmpl w:val="4B30E788"/>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857C95"/>
    <w:multiLevelType w:val="hybridMultilevel"/>
    <w:tmpl w:val="73B6B0D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BD7925"/>
    <w:multiLevelType w:val="hybridMultilevel"/>
    <w:tmpl w:val="9C1A1174"/>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F026B6"/>
    <w:multiLevelType w:val="hybridMultilevel"/>
    <w:tmpl w:val="A336E5A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CC0748"/>
    <w:multiLevelType w:val="hybridMultilevel"/>
    <w:tmpl w:val="1126223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183F42"/>
    <w:multiLevelType w:val="hybridMultilevel"/>
    <w:tmpl w:val="BFD03B9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4672F0"/>
    <w:multiLevelType w:val="hybridMultilevel"/>
    <w:tmpl w:val="A6523AF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5D13D5"/>
    <w:multiLevelType w:val="hybridMultilevel"/>
    <w:tmpl w:val="2B604A9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611C71"/>
    <w:multiLevelType w:val="hybridMultilevel"/>
    <w:tmpl w:val="F3EE7AC4"/>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016329"/>
    <w:multiLevelType w:val="hybridMultilevel"/>
    <w:tmpl w:val="A9BC41C8"/>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F4F0B88"/>
    <w:multiLevelType w:val="hybridMultilevel"/>
    <w:tmpl w:val="4A70F9A0"/>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6F79AD"/>
    <w:multiLevelType w:val="hybridMultilevel"/>
    <w:tmpl w:val="4B020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1860855">
    <w:abstractNumId w:val="7"/>
  </w:num>
  <w:num w:numId="2" w16cid:durableId="1794515746">
    <w:abstractNumId w:val="11"/>
  </w:num>
  <w:num w:numId="3" w16cid:durableId="1531914646">
    <w:abstractNumId w:val="20"/>
  </w:num>
  <w:num w:numId="4" w16cid:durableId="699549264">
    <w:abstractNumId w:val="19"/>
  </w:num>
  <w:num w:numId="5" w16cid:durableId="1904412151">
    <w:abstractNumId w:val="18"/>
  </w:num>
  <w:num w:numId="6" w16cid:durableId="1416170997">
    <w:abstractNumId w:val="0"/>
  </w:num>
  <w:num w:numId="7" w16cid:durableId="1462000215">
    <w:abstractNumId w:val="2"/>
  </w:num>
  <w:num w:numId="8" w16cid:durableId="446629182">
    <w:abstractNumId w:val="16"/>
  </w:num>
  <w:num w:numId="9" w16cid:durableId="1115828628">
    <w:abstractNumId w:val="17"/>
  </w:num>
  <w:num w:numId="10" w16cid:durableId="1599561648">
    <w:abstractNumId w:val="6"/>
  </w:num>
  <w:num w:numId="11" w16cid:durableId="1560244522">
    <w:abstractNumId w:val="12"/>
  </w:num>
  <w:num w:numId="12" w16cid:durableId="1218123735">
    <w:abstractNumId w:val="8"/>
  </w:num>
  <w:num w:numId="13" w16cid:durableId="1455826904">
    <w:abstractNumId w:val="14"/>
  </w:num>
  <w:num w:numId="14" w16cid:durableId="769013508">
    <w:abstractNumId w:val="13"/>
  </w:num>
  <w:num w:numId="15" w16cid:durableId="447117044">
    <w:abstractNumId w:val="15"/>
  </w:num>
  <w:num w:numId="16" w16cid:durableId="1874150189">
    <w:abstractNumId w:val="21"/>
  </w:num>
  <w:num w:numId="17" w16cid:durableId="177544170">
    <w:abstractNumId w:val="3"/>
  </w:num>
  <w:num w:numId="18" w16cid:durableId="434326275">
    <w:abstractNumId w:val="5"/>
  </w:num>
  <w:num w:numId="19" w16cid:durableId="520360434">
    <w:abstractNumId w:val="9"/>
  </w:num>
  <w:num w:numId="20" w16cid:durableId="894509813">
    <w:abstractNumId w:val="1"/>
  </w:num>
  <w:num w:numId="21" w16cid:durableId="1261256004">
    <w:abstractNumId w:val="4"/>
  </w:num>
  <w:num w:numId="22" w16cid:durableId="897016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B1"/>
    <w:rsid w:val="001135F8"/>
    <w:rsid w:val="00223786"/>
    <w:rsid w:val="002D1B09"/>
    <w:rsid w:val="003339E4"/>
    <w:rsid w:val="004B08B7"/>
    <w:rsid w:val="005C4E51"/>
    <w:rsid w:val="006671D8"/>
    <w:rsid w:val="006A450E"/>
    <w:rsid w:val="007A66DD"/>
    <w:rsid w:val="00CE671E"/>
    <w:rsid w:val="00EB4CCD"/>
    <w:rsid w:val="00EE0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05C9"/>
  <w15:chartTrackingRefBased/>
  <w15:docId w15:val="{EF824CD4-7E3E-416F-B974-21AE1BD4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kern w:val="2"/>
        <w:lang w:val="de-DE" w:eastAsia="de-DE"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07B1"/>
    <w:rPr>
      <w:kern w:val="0"/>
      <w:sz w:val="22"/>
      <w:szCs w:val="22"/>
      <w14:ligatures w14:val="none"/>
    </w:rPr>
  </w:style>
  <w:style w:type="paragraph" w:styleId="berschrift1">
    <w:name w:val="heading 1"/>
    <w:basedOn w:val="Standard"/>
    <w:next w:val="Standard"/>
    <w:link w:val="berschrift1Zchn"/>
    <w:uiPriority w:val="9"/>
    <w:qFormat/>
    <w:rsid w:val="00EE07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E07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E07B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E07B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E07B1"/>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EE07B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07B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E07B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07B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07B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E07B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E07B1"/>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E07B1"/>
    <w:rPr>
      <w:rFonts w:asciiTheme="minorHAnsi" w:eastAsiaTheme="majorEastAsia" w:hAnsiTheme="minorHAnsi" w:cstheme="majorBidi"/>
      <w:i/>
      <w:iCs/>
      <w:color w:val="365F91" w:themeColor="accent1" w:themeShade="BF"/>
      <w:sz w:val="22"/>
      <w:szCs w:val="22"/>
    </w:rPr>
  </w:style>
  <w:style w:type="character" w:customStyle="1" w:styleId="berschrift5Zchn">
    <w:name w:val="Überschrift 5 Zchn"/>
    <w:basedOn w:val="Absatz-Standardschriftart"/>
    <w:link w:val="berschrift5"/>
    <w:uiPriority w:val="9"/>
    <w:semiHidden/>
    <w:rsid w:val="00EE07B1"/>
    <w:rPr>
      <w:rFonts w:asciiTheme="minorHAnsi" w:eastAsiaTheme="majorEastAsia" w:hAnsiTheme="minorHAnsi" w:cstheme="majorBidi"/>
      <w:color w:val="365F91" w:themeColor="accent1" w:themeShade="BF"/>
      <w:sz w:val="22"/>
      <w:szCs w:val="22"/>
    </w:rPr>
  </w:style>
  <w:style w:type="character" w:customStyle="1" w:styleId="berschrift6Zchn">
    <w:name w:val="Überschrift 6 Zchn"/>
    <w:basedOn w:val="Absatz-Standardschriftart"/>
    <w:link w:val="berschrift6"/>
    <w:uiPriority w:val="9"/>
    <w:semiHidden/>
    <w:rsid w:val="00EE07B1"/>
    <w:rPr>
      <w:rFonts w:asciiTheme="minorHAnsi" w:eastAsiaTheme="majorEastAsia" w:hAnsiTheme="minorHAnsi" w:cstheme="majorBidi"/>
      <w:i/>
      <w:iCs/>
      <w:color w:val="595959" w:themeColor="text1" w:themeTint="A6"/>
      <w:sz w:val="22"/>
      <w:szCs w:val="22"/>
    </w:rPr>
  </w:style>
  <w:style w:type="character" w:customStyle="1" w:styleId="berschrift7Zchn">
    <w:name w:val="Überschrift 7 Zchn"/>
    <w:basedOn w:val="Absatz-Standardschriftart"/>
    <w:link w:val="berschrift7"/>
    <w:uiPriority w:val="9"/>
    <w:semiHidden/>
    <w:rsid w:val="00EE07B1"/>
    <w:rPr>
      <w:rFonts w:asciiTheme="minorHAnsi" w:eastAsiaTheme="majorEastAsia" w:hAnsiTheme="minorHAnsi" w:cstheme="majorBidi"/>
      <w:color w:val="595959" w:themeColor="text1" w:themeTint="A6"/>
      <w:sz w:val="22"/>
      <w:szCs w:val="22"/>
    </w:rPr>
  </w:style>
  <w:style w:type="character" w:customStyle="1" w:styleId="berschrift8Zchn">
    <w:name w:val="Überschrift 8 Zchn"/>
    <w:basedOn w:val="Absatz-Standardschriftart"/>
    <w:link w:val="berschrift8"/>
    <w:uiPriority w:val="9"/>
    <w:semiHidden/>
    <w:rsid w:val="00EE07B1"/>
    <w:rPr>
      <w:rFonts w:asciiTheme="minorHAnsi" w:eastAsiaTheme="majorEastAsia" w:hAnsiTheme="minorHAnsi" w:cstheme="majorBidi"/>
      <w:i/>
      <w:iCs/>
      <w:color w:val="272727" w:themeColor="text1" w:themeTint="D8"/>
      <w:sz w:val="22"/>
      <w:szCs w:val="22"/>
    </w:rPr>
  </w:style>
  <w:style w:type="character" w:customStyle="1" w:styleId="berschrift9Zchn">
    <w:name w:val="Überschrift 9 Zchn"/>
    <w:basedOn w:val="Absatz-Standardschriftart"/>
    <w:link w:val="berschrift9"/>
    <w:uiPriority w:val="9"/>
    <w:semiHidden/>
    <w:rsid w:val="00EE07B1"/>
    <w:rPr>
      <w:rFonts w:asciiTheme="minorHAnsi" w:eastAsiaTheme="majorEastAsia" w:hAnsiTheme="minorHAnsi" w:cstheme="majorBidi"/>
      <w:color w:val="272727" w:themeColor="text1" w:themeTint="D8"/>
      <w:sz w:val="22"/>
      <w:szCs w:val="22"/>
    </w:rPr>
  </w:style>
  <w:style w:type="paragraph" w:styleId="Titel">
    <w:name w:val="Title"/>
    <w:basedOn w:val="Standard"/>
    <w:next w:val="Standard"/>
    <w:link w:val="TitelZchn"/>
    <w:uiPriority w:val="10"/>
    <w:qFormat/>
    <w:rsid w:val="00EE0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07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07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07B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E07B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07B1"/>
    <w:rPr>
      <w:i/>
      <w:iCs/>
      <w:color w:val="404040" w:themeColor="text1" w:themeTint="BF"/>
      <w:sz w:val="22"/>
      <w:szCs w:val="22"/>
    </w:rPr>
  </w:style>
  <w:style w:type="paragraph" w:styleId="Listenabsatz">
    <w:name w:val="List Paragraph"/>
    <w:basedOn w:val="Standard"/>
    <w:uiPriority w:val="34"/>
    <w:qFormat/>
    <w:rsid w:val="00EE07B1"/>
    <w:pPr>
      <w:ind w:left="720"/>
      <w:contextualSpacing/>
    </w:pPr>
  </w:style>
  <w:style w:type="character" w:styleId="IntensiveHervorhebung">
    <w:name w:val="Intense Emphasis"/>
    <w:basedOn w:val="Absatz-Standardschriftart"/>
    <w:uiPriority w:val="21"/>
    <w:qFormat/>
    <w:rsid w:val="00EE07B1"/>
    <w:rPr>
      <w:i/>
      <w:iCs/>
      <w:color w:val="365F91" w:themeColor="accent1" w:themeShade="BF"/>
    </w:rPr>
  </w:style>
  <w:style w:type="paragraph" w:styleId="IntensivesZitat">
    <w:name w:val="Intense Quote"/>
    <w:basedOn w:val="Standard"/>
    <w:next w:val="Standard"/>
    <w:link w:val="IntensivesZitatZchn"/>
    <w:uiPriority w:val="30"/>
    <w:qFormat/>
    <w:rsid w:val="00EE07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E07B1"/>
    <w:rPr>
      <w:i/>
      <w:iCs/>
      <w:color w:val="365F91" w:themeColor="accent1" w:themeShade="BF"/>
      <w:sz w:val="22"/>
      <w:szCs w:val="22"/>
    </w:rPr>
  </w:style>
  <w:style w:type="character" w:styleId="IntensiverVerweis">
    <w:name w:val="Intense Reference"/>
    <w:basedOn w:val="Absatz-Standardschriftart"/>
    <w:uiPriority w:val="32"/>
    <w:qFormat/>
    <w:rsid w:val="00EE07B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7657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Krüger, Beatrix</dc:creator>
  <cp:keywords/>
  <dc:description/>
  <cp:lastModifiedBy>Krüger, Beatrix</cp:lastModifiedBy>
  <cp:revision>2</cp:revision>
  <dcterms:created xsi:type="dcterms:W3CDTF">2025-11-10T10:48:00Z</dcterms:created>
  <dcterms:modified xsi:type="dcterms:W3CDTF">2025-11-10T10:48:00Z</dcterms:modified>
</cp:coreProperties>
</file>