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0624" w14:textId="6043CD7D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/>
          <w:bCs/>
          <w:sz w:val="30"/>
          <w:szCs w:val="30"/>
        </w:rPr>
        <w:t xml:space="preserve"> Erbschein</w:t>
      </w:r>
      <w:r w:rsidRPr="00D53E0F">
        <w:rPr>
          <w:rFonts w:eastAsia="Times New Roman"/>
          <w:bCs/>
          <w:sz w:val="24"/>
          <w:szCs w:val="24"/>
        </w:rPr>
        <w:t xml:space="preserve"> § 2353 BGB ff. + §§ 352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 xml:space="preserve"> ff.</w:t>
      </w:r>
    </w:p>
    <w:p w14:paraId="172D644E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436DB3EA" w14:textId="4FE2DE54" w:rsidR="00974BEB" w:rsidRPr="00D53E0F" w:rsidRDefault="00974BEB" w:rsidP="00974BEB">
      <w:pPr>
        <w:numPr>
          <w:ilvl w:val="0"/>
          <w:numId w:val="1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der Erbschein begründet die (widerlegbare) Vermutung, dass </w:t>
      </w:r>
      <w:r w:rsidR="006B738F">
        <w:rPr>
          <w:rFonts w:eastAsia="Times New Roman"/>
          <w:bCs/>
          <w:sz w:val="24"/>
          <w:szCs w:val="24"/>
        </w:rPr>
        <w:t>dem/</w:t>
      </w:r>
      <w:r w:rsidRPr="00D53E0F">
        <w:rPr>
          <w:rFonts w:eastAsia="Times New Roman"/>
          <w:bCs/>
          <w:sz w:val="24"/>
          <w:szCs w:val="24"/>
        </w:rPr>
        <w:t>de</w:t>
      </w:r>
      <w:r>
        <w:rPr>
          <w:rFonts w:eastAsia="Times New Roman"/>
          <w:bCs/>
          <w:sz w:val="24"/>
          <w:szCs w:val="24"/>
        </w:rPr>
        <w:t>n</w:t>
      </w:r>
      <w:r w:rsidRPr="00D53E0F">
        <w:rPr>
          <w:rFonts w:eastAsia="Times New Roman"/>
          <w:bCs/>
          <w:sz w:val="24"/>
          <w:szCs w:val="24"/>
        </w:rPr>
        <w:t xml:space="preserve"> im Erbschein bezeichneten Erben das Erbrecht zusteht § 2365 BGB</w:t>
      </w:r>
    </w:p>
    <w:p w14:paraId="629BFEF5" w14:textId="77777777" w:rsidR="00974BEB" w:rsidRPr="00D53E0F" w:rsidRDefault="00974BEB" w:rsidP="00974BEB">
      <w:pPr>
        <w:numPr>
          <w:ilvl w:val="0"/>
          <w:numId w:val="1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wer ein, auf Grundlage des Erbscheins, Rechtsgeschäft mit den Erben tätigt, wird Eigentümer, auch wenn sich der Erbschein als unrichtig herausstellt </w:t>
      </w:r>
      <w:r w:rsidRPr="00D53E0F">
        <w:rPr>
          <w:rFonts w:eastAsia="Times New Roman" w:cs="Arial"/>
          <w:bCs/>
          <w:sz w:val="24"/>
          <w:szCs w:val="24"/>
        </w:rPr>
        <w:t>→</w:t>
      </w:r>
      <w:r w:rsidRPr="00D53E0F">
        <w:rPr>
          <w:rFonts w:eastAsia="Times New Roman"/>
          <w:bCs/>
          <w:sz w:val="24"/>
          <w:szCs w:val="24"/>
        </w:rPr>
        <w:t xml:space="preserve"> Erbschein genießt öffentlichen Glauben (§ 2366 BGB)</w:t>
      </w:r>
    </w:p>
    <w:p w14:paraId="1590ECE0" w14:textId="77777777" w:rsidR="00974BEB" w:rsidRPr="00D53E0F" w:rsidRDefault="00974BEB" w:rsidP="00974BEB">
      <w:pPr>
        <w:numPr>
          <w:ilvl w:val="0"/>
          <w:numId w:val="1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zuständig ist das Amtsgericht, in welchen Bezirk der Erblasser seinen letzten gewöhnlichen Aufenthalt hatte (§ 2353 BGB + 343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73DC081E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5B305052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>Erbschein kann beantragt werden von:</w:t>
      </w:r>
    </w:p>
    <w:p w14:paraId="292C2382" w14:textId="77777777" w:rsidR="006B738F" w:rsidRPr="00D53E0F" w:rsidRDefault="006B738F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</w:p>
    <w:p w14:paraId="67864981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jedem Erben (gesetzlich/</w:t>
      </w:r>
      <w:r>
        <w:rPr>
          <w:rFonts w:eastAsia="Times New Roman"/>
          <w:bCs/>
          <w:sz w:val="24"/>
          <w:szCs w:val="24"/>
        </w:rPr>
        <w:t>testamentarisch</w:t>
      </w:r>
      <w:r w:rsidRPr="00D53E0F">
        <w:rPr>
          <w:rFonts w:eastAsia="Times New Roman"/>
          <w:bCs/>
          <w:sz w:val="24"/>
          <w:szCs w:val="24"/>
        </w:rPr>
        <w:t xml:space="preserve">), </w:t>
      </w:r>
    </w:p>
    <w:p w14:paraId="25BED366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Gläubiger (zur Zwangsvollstreckung gegen die Erben),</w:t>
      </w:r>
    </w:p>
    <w:p w14:paraId="24C0BB5C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diejenigen, die im Fall der Unwirksamkeit einer Verfügung von Todes wegen, Erben sein würden,</w:t>
      </w:r>
    </w:p>
    <w:p w14:paraId="10E080F5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Testamentsvollstrecker</w:t>
      </w:r>
    </w:p>
    <w:p w14:paraId="0FBFE3E4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Vorerbe/Nacherbe</w:t>
      </w:r>
    </w:p>
    <w:p w14:paraId="4F964DBC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54311012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Angaben über den Antrag: siehe § 352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</w:p>
    <w:p w14:paraId="79425628" w14:textId="300F21BA" w:rsidR="00974BEB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Antragssteller muss durch</w:t>
      </w:r>
      <w:r>
        <w:rPr>
          <w:rFonts w:eastAsia="Times New Roman"/>
          <w:bCs/>
          <w:sz w:val="24"/>
          <w:szCs w:val="24"/>
        </w:rPr>
        <w:t xml:space="preserve"> Vorlage</w:t>
      </w:r>
      <w:r w:rsidRPr="00D53E0F">
        <w:rPr>
          <w:rFonts w:eastAsia="Times New Roman"/>
          <w:bCs/>
          <w:sz w:val="24"/>
          <w:szCs w:val="24"/>
        </w:rPr>
        <w:t xml:space="preserve"> öffentliche</w:t>
      </w:r>
      <w:r>
        <w:rPr>
          <w:rFonts w:eastAsia="Times New Roman"/>
          <w:bCs/>
          <w:sz w:val="24"/>
          <w:szCs w:val="24"/>
        </w:rPr>
        <w:t>r</w:t>
      </w:r>
      <w:r w:rsidRPr="00D53E0F">
        <w:rPr>
          <w:rFonts w:eastAsia="Times New Roman"/>
          <w:bCs/>
          <w:sz w:val="24"/>
          <w:szCs w:val="24"/>
        </w:rPr>
        <w:t xml:space="preserve"> Urkunden nachweisen</w:t>
      </w:r>
      <w:r>
        <w:rPr>
          <w:rFonts w:eastAsia="Times New Roman"/>
          <w:bCs/>
          <w:sz w:val="24"/>
          <w:szCs w:val="24"/>
        </w:rPr>
        <w:t>, dass die beantragte Erbfolge richtig ist</w:t>
      </w:r>
      <w:r w:rsidRPr="00D53E0F">
        <w:rPr>
          <w:rFonts w:eastAsia="Times New Roman" w:cs="Arial"/>
          <w:bCs/>
          <w:sz w:val="24"/>
          <w:szCs w:val="24"/>
        </w:rPr>
        <w:t>→</w:t>
      </w:r>
      <w:r w:rsidRPr="00D53E0F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bei Beantragung eines Erbscheines besteht eine </w:t>
      </w:r>
      <w:proofErr w:type="spellStart"/>
      <w:r>
        <w:rPr>
          <w:rFonts w:eastAsia="Times New Roman"/>
          <w:bCs/>
          <w:sz w:val="24"/>
          <w:szCs w:val="24"/>
        </w:rPr>
        <w:t>Bringepflicht</w:t>
      </w:r>
      <w:proofErr w:type="spellEnd"/>
      <w:r>
        <w:rPr>
          <w:rFonts w:eastAsia="Times New Roman"/>
          <w:bCs/>
          <w:sz w:val="24"/>
          <w:szCs w:val="24"/>
        </w:rPr>
        <w:t xml:space="preserve"> des Antragstellers</w:t>
      </w:r>
      <w:r w:rsidRPr="00D53E0F">
        <w:rPr>
          <w:rFonts w:eastAsia="Times New Roman"/>
          <w:bCs/>
          <w:sz w:val="24"/>
          <w:szCs w:val="24"/>
        </w:rPr>
        <w:t xml:space="preserve"> (§ 352(3)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00F031A6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der Antrag (</w:t>
      </w:r>
      <w:proofErr w:type="spellStart"/>
      <w:r w:rsidRPr="00D53E0F">
        <w:rPr>
          <w:rFonts w:eastAsia="Times New Roman"/>
          <w:bCs/>
          <w:sz w:val="24"/>
          <w:szCs w:val="24"/>
        </w:rPr>
        <w:t>Erbscheinsverhandlung</w:t>
      </w:r>
      <w:proofErr w:type="spellEnd"/>
      <w:r w:rsidRPr="00D53E0F">
        <w:rPr>
          <w:rFonts w:eastAsia="Times New Roman"/>
          <w:bCs/>
          <w:sz w:val="24"/>
          <w:szCs w:val="24"/>
        </w:rPr>
        <w:t xml:space="preserve">) </w:t>
      </w:r>
      <w:r>
        <w:rPr>
          <w:rFonts w:eastAsia="Times New Roman"/>
          <w:bCs/>
          <w:sz w:val="24"/>
          <w:szCs w:val="24"/>
        </w:rPr>
        <w:t>beinhaltet</w:t>
      </w:r>
      <w:r w:rsidRPr="00D53E0F">
        <w:rPr>
          <w:rFonts w:eastAsia="Times New Roman"/>
          <w:bCs/>
          <w:sz w:val="24"/>
          <w:szCs w:val="24"/>
        </w:rPr>
        <w:t xml:space="preserve"> eine eidesstaatliche Versicherung, die vor einem Notar oder Gericht abgegeben werden muss (§ 352 (3) 3.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19AD5D30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ein</w:t>
      </w:r>
      <w:r>
        <w:rPr>
          <w:rFonts w:eastAsia="Times New Roman"/>
          <w:bCs/>
          <w:sz w:val="24"/>
          <w:szCs w:val="24"/>
        </w:rPr>
        <w:t>er der</w:t>
      </w:r>
      <w:r w:rsidRPr="00D53E0F">
        <w:rPr>
          <w:rFonts w:eastAsia="Times New Roman"/>
          <w:bCs/>
          <w:sz w:val="24"/>
          <w:szCs w:val="24"/>
        </w:rPr>
        <w:t xml:space="preserve"> Erbe</w:t>
      </w:r>
      <w:r>
        <w:rPr>
          <w:rFonts w:eastAsia="Times New Roman"/>
          <w:bCs/>
          <w:sz w:val="24"/>
          <w:szCs w:val="24"/>
        </w:rPr>
        <w:t>n</w:t>
      </w:r>
      <w:r w:rsidRPr="00D53E0F">
        <w:rPr>
          <w:rFonts w:eastAsia="Times New Roman"/>
          <w:bCs/>
          <w:sz w:val="24"/>
          <w:szCs w:val="24"/>
        </w:rPr>
        <w:t xml:space="preserve"> kann für eine Erbengemeinschaft einen Erbschein beantragen; im Antrag </w:t>
      </w:r>
      <w:r w:rsidRPr="00D53E0F">
        <w:rPr>
          <w:rFonts w:eastAsia="Times New Roman"/>
          <w:bCs/>
          <w:sz w:val="24"/>
          <w:szCs w:val="24"/>
          <w:u w:val="single"/>
        </w:rPr>
        <w:t>muss</w:t>
      </w:r>
      <w:r w:rsidRPr="00D53E0F">
        <w:rPr>
          <w:rFonts w:eastAsia="Times New Roman"/>
          <w:bCs/>
          <w:sz w:val="24"/>
          <w:szCs w:val="24"/>
        </w:rPr>
        <w:t xml:space="preserve"> aber stehen, dass alle die Erbschaft angenommen haben </w:t>
      </w:r>
    </w:p>
    <w:p w14:paraId="2ADCB08A" w14:textId="77777777" w:rsidR="00974BEB" w:rsidRPr="006B738F" w:rsidRDefault="00974BEB" w:rsidP="006B738F">
      <w:pPr>
        <w:pStyle w:val="Listenabsatz"/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6B738F">
        <w:rPr>
          <w:rFonts w:eastAsia="Times New Roman"/>
          <w:bCs/>
          <w:sz w:val="24"/>
          <w:szCs w:val="24"/>
        </w:rPr>
        <w:t xml:space="preserve">(§ 352a (3) </w:t>
      </w:r>
      <w:proofErr w:type="spellStart"/>
      <w:r w:rsidRPr="006B738F">
        <w:rPr>
          <w:rFonts w:eastAsia="Times New Roman"/>
          <w:bCs/>
          <w:sz w:val="24"/>
          <w:szCs w:val="24"/>
        </w:rPr>
        <w:t>FamFG</w:t>
      </w:r>
      <w:proofErr w:type="spellEnd"/>
      <w:r w:rsidRPr="006B738F">
        <w:rPr>
          <w:rFonts w:eastAsia="Times New Roman"/>
          <w:bCs/>
          <w:sz w:val="24"/>
          <w:szCs w:val="24"/>
        </w:rPr>
        <w:t>)</w:t>
      </w:r>
    </w:p>
    <w:p w14:paraId="6F6D62A7" w14:textId="7777777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die Erben können auch jeder für sich einen Teilerbschein beantragen (aber in der Praxis eher unbrauchbar)</w:t>
      </w:r>
    </w:p>
    <w:p w14:paraId="526E91EC" w14:textId="42676657" w:rsidR="00974BEB" w:rsidRPr="00D53E0F" w:rsidRDefault="00974BEB" w:rsidP="006B738F">
      <w:pPr>
        <w:numPr>
          <w:ilvl w:val="0"/>
          <w:numId w:val="35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der Erbschein wird erteilt, wenn das Gericht die erforderlichen Tatsachen für richtig erklärt ( alle Urkunden sind vollständig) (§ 352 e </w:t>
      </w:r>
      <w:proofErr w:type="spellStart"/>
      <w:r w:rsidRPr="00D53E0F">
        <w:rPr>
          <w:rFonts w:eastAsia="Times New Roman"/>
          <w:bCs/>
          <w:sz w:val="24"/>
          <w:szCs w:val="24"/>
        </w:rPr>
        <w:t>FamF</w:t>
      </w:r>
      <w:r w:rsidR="006B738F">
        <w:rPr>
          <w:rFonts w:eastAsia="Times New Roman"/>
          <w:bCs/>
          <w:sz w:val="24"/>
          <w:szCs w:val="24"/>
        </w:rPr>
        <w:t>G</w:t>
      </w:r>
      <w:proofErr w:type="spellEnd"/>
      <w:r w:rsidRPr="00D53E0F">
        <w:rPr>
          <w:rFonts w:eastAsia="Times New Roman"/>
          <w:bCs/>
          <w:sz w:val="24"/>
          <w:szCs w:val="24"/>
        </w:rPr>
        <w:t xml:space="preserve">) </w:t>
      </w:r>
      <w:r w:rsidRPr="00D53E0F">
        <w:rPr>
          <w:rFonts w:eastAsia="Times New Roman" w:cs="Arial"/>
          <w:bCs/>
          <w:sz w:val="24"/>
          <w:szCs w:val="24"/>
        </w:rPr>
        <w:t>→</w:t>
      </w:r>
      <w:r w:rsidRPr="00D53E0F">
        <w:rPr>
          <w:rFonts w:eastAsia="Times New Roman"/>
          <w:bCs/>
          <w:sz w:val="24"/>
          <w:szCs w:val="24"/>
        </w:rPr>
        <w:t xml:space="preserve"> Fes</w:t>
      </w:r>
      <w:r>
        <w:rPr>
          <w:rFonts w:eastAsia="Times New Roman"/>
          <w:bCs/>
          <w:sz w:val="24"/>
          <w:szCs w:val="24"/>
        </w:rPr>
        <w:t>t</w:t>
      </w:r>
      <w:r w:rsidRPr="00D53E0F">
        <w:rPr>
          <w:rFonts w:eastAsia="Times New Roman"/>
          <w:bCs/>
          <w:sz w:val="24"/>
          <w:szCs w:val="24"/>
        </w:rPr>
        <w:t>stellungsbeschluss</w:t>
      </w:r>
    </w:p>
    <w:p w14:paraId="76E0E685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2CF869B7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 xml:space="preserve">das </w:t>
      </w:r>
      <w:proofErr w:type="spellStart"/>
      <w:r w:rsidRPr="00D53E0F">
        <w:rPr>
          <w:rFonts w:eastAsia="Times New Roman"/>
          <w:bCs/>
          <w:sz w:val="24"/>
          <w:szCs w:val="24"/>
          <w:u w:val="single"/>
        </w:rPr>
        <w:t>Erbscheinsverfahren</w:t>
      </w:r>
      <w:proofErr w:type="spellEnd"/>
      <w:r w:rsidRPr="00D53E0F">
        <w:rPr>
          <w:rFonts w:eastAsia="Times New Roman"/>
          <w:bCs/>
          <w:sz w:val="24"/>
          <w:szCs w:val="24"/>
          <w:u w:val="single"/>
        </w:rPr>
        <w:t xml:space="preserve"> besteht aus:</w:t>
      </w:r>
    </w:p>
    <w:p w14:paraId="15151AAE" w14:textId="77777777" w:rsidR="006B738F" w:rsidRPr="00D53E0F" w:rsidRDefault="006B738F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</w:p>
    <w:p w14:paraId="50FC4C73" w14:textId="77777777" w:rsidR="00974BEB" w:rsidRPr="006B738F" w:rsidRDefault="00974BEB" w:rsidP="006B738F">
      <w:pPr>
        <w:pStyle w:val="Listenabsatz"/>
        <w:numPr>
          <w:ilvl w:val="0"/>
          <w:numId w:val="34"/>
        </w:numPr>
        <w:spacing w:line="240" w:lineRule="auto"/>
        <w:rPr>
          <w:rFonts w:eastAsia="Times New Roman"/>
          <w:bCs/>
          <w:sz w:val="24"/>
          <w:szCs w:val="24"/>
        </w:rPr>
      </w:pPr>
      <w:proofErr w:type="spellStart"/>
      <w:r w:rsidRPr="006B738F">
        <w:rPr>
          <w:rFonts w:eastAsia="Times New Roman"/>
          <w:bCs/>
          <w:sz w:val="24"/>
          <w:szCs w:val="24"/>
        </w:rPr>
        <w:t>Erbscheinsverhandlung</w:t>
      </w:r>
      <w:proofErr w:type="spellEnd"/>
      <w:r w:rsidRPr="006B738F">
        <w:rPr>
          <w:rFonts w:eastAsia="Times New Roman"/>
          <w:bCs/>
          <w:sz w:val="24"/>
          <w:szCs w:val="24"/>
        </w:rPr>
        <w:t xml:space="preserve"> (Notar/Gericht)</w:t>
      </w:r>
    </w:p>
    <w:p w14:paraId="7A0DAFBD" w14:textId="00E201AF" w:rsidR="00974BEB" w:rsidRPr="006B738F" w:rsidRDefault="00974BEB" w:rsidP="006B738F">
      <w:pPr>
        <w:pStyle w:val="Listenabsatz"/>
        <w:numPr>
          <w:ilvl w:val="0"/>
          <w:numId w:val="34"/>
        </w:numPr>
        <w:spacing w:line="240" w:lineRule="auto"/>
        <w:rPr>
          <w:rFonts w:eastAsia="Times New Roman"/>
          <w:bCs/>
          <w:sz w:val="24"/>
          <w:szCs w:val="24"/>
        </w:rPr>
      </w:pPr>
      <w:r w:rsidRPr="006B738F">
        <w:rPr>
          <w:rFonts w:eastAsia="Times New Roman"/>
          <w:bCs/>
          <w:sz w:val="24"/>
          <w:szCs w:val="24"/>
        </w:rPr>
        <w:t>Fes</w:t>
      </w:r>
      <w:r w:rsidRPr="006B738F">
        <w:rPr>
          <w:rFonts w:eastAsia="Times New Roman"/>
          <w:bCs/>
          <w:sz w:val="24"/>
          <w:szCs w:val="24"/>
        </w:rPr>
        <w:t>t</w:t>
      </w:r>
      <w:r w:rsidRPr="006B738F">
        <w:rPr>
          <w:rFonts w:eastAsia="Times New Roman"/>
          <w:bCs/>
          <w:sz w:val="24"/>
          <w:szCs w:val="24"/>
        </w:rPr>
        <w:t>stellungsbeschluss (</w:t>
      </w:r>
      <w:r w:rsidRPr="006B738F">
        <w:rPr>
          <w:rFonts w:eastAsia="Times New Roman"/>
          <w:bCs/>
          <w:sz w:val="24"/>
          <w:szCs w:val="24"/>
        </w:rPr>
        <w:t xml:space="preserve">wird </w:t>
      </w:r>
      <w:r w:rsidRPr="006B738F">
        <w:rPr>
          <w:rFonts w:eastAsia="Times New Roman"/>
          <w:bCs/>
          <w:sz w:val="24"/>
          <w:szCs w:val="24"/>
        </w:rPr>
        <w:t>vom Gericht</w:t>
      </w:r>
      <w:r w:rsidRPr="006B738F">
        <w:rPr>
          <w:rFonts w:eastAsia="Times New Roman"/>
          <w:bCs/>
          <w:sz w:val="24"/>
          <w:szCs w:val="24"/>
        </w:rPr>
        <w:t xml:space="preserve"> nur in der NL-Akte z.d.A. erlassen)</w:t>
      </w:r>
      <w:r w:rsidRPr="006B738F">
        <w:rPr>
          <w:rFonts w:eastAsia="Times New Roman"/>
          <w:bCs/>
          <w:sz w:val="24"/>
          <w:szCs w:val="24"/>
        </w:rPr>
        <w:t xml:space="preserve"> </w:t>
      </w:r>
    </w:p>
    <w:p w14:paraId="634D243A" w14:textId="461117C0" w:rsidR="00974BEB" w:rsidRPr="006B738F" w:rsidRDefault="00974BEB" w:rsidP="006B738F">
      <w:pPr>
        <w:pStyle w:val="Listenabsatz"/>
        <w:numPr>
          <w:ilvl w:val="0"/>
          <w:numId w:val="34"/>
        </w:numPr>
        <w:spacing w:line="240" w:lineRule="auto"/>
        <w:rPr>
          <w:rFonts w:eastAsia="Times New Roman"/>
          <w:bCs/>
          <w:sz w:val="24"/>
          <w:szCs w:val="24"/>
        </w:rPr>
      </w:pPr>
      <w:r w:rsidRPr="006B738F">
        <w:rPr>
          <w:rFonts w:eastAsia="Times New Roman"/>
          <w:bCs/>
          <w:sz w:val="24"/>
          <w:szCs w:val="24"/>
        </w:rPr>
        <w:t xml:space="preserve">Erteilung des </w:t>
      </w:r>
      <w:r w:rsidRPr="006B738F">
        <w:rPr>
          <w:rFonts w:eastAsia="Times New Roman"/>
          <w:bCs/>
          <w:sz w:val="24"/>
          <w:szCs w:val="24"/>
        </w:rPr>
        <w:t>Erbschein</w:t>
      </w:r>
      <w:r w:rsidRPr="006B738F">
        <w:rPr>
          <w:rFonts w:eastAsia="Times New Roman"/>
          <w:bCs/>
          <w:sz w:val="24"/>
          <w:szCs w:val="24"/>
        </w:rPr>
        <w:t>s</w:t>
      </w:r>
      <w:r w:rsidRPr="006B738F">
        <w:rPr>
          <w:rFonts w:eastAsia="Times New Roman"/>
          <w:bCs/>
          <w:sz w:val="24"/>
          <w:szCs w:val="24"/>
        </w:rPr>
        <w:t xml:space="preserve"> </w:t>
      </w:r>
    </w:p>
    <w:p w14:paraId="6E796499" w14:textId="77777777" w:rsidR="006B738F" w:rsidRPr="00D53E0F" w:rsidRDefault="006B738F" w:rsidP="006B738F">
      <w:pPr>
        <w:spacing w:line="240" w:lineRule="auto"/>
        <w:rPr>
          <w:rFonts w:eastAsia="Times New Roman"/>
          <w:bCs/>
          <w:sz w:val="24"/>
          <w:szCs w:val="24"/>
        </w:rPr>
      </w:pPr>
    </w:p>
    <w:p w14:paraId="21739DB6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>funktionell zuständig</w:t>
      </w:r>
    </w:p>
    <w:p w14:paraId="6B762462" w14:textId="77777777" w:rsidR="00974BEB" w:rsidRPr="006B738F" w:rsidRDefault="00974BEB" w:rsidP="006B738F">
      <w:pPr>
        <w:pStyle w:val="Listenabsatz"/>
        <w:numPr>
          <w:ilvl w:val="0"/>
          <w:numId w:val="33"/>
        </w:numPr>
        <w:spacing w:line="240" w:lineRule="auto"/>
        <w:rPr>
          <w:rFonts w:eastAsia="Times New Roman"/>
          <w:bCs/>
          <w:sz w:val="24"/>
          <w:szCs w:val="24"/>
        </w:rPr>
      </w:pPr>
      <w:r w:rsidRPr="006B738F">
        <w:rPr>
          <w:rFonts w:eastAsia="Times New Roman"/>
          <w:bCs/>
          <w:sz w:val="24"/>
          <w:szCs w:val="24"/>
        </w:rPr>
        <w:t xml:space="preserve">Rechtspfleger = bei gesetzlicher Erbfolge (§ 16 6. </w:t>
      </w:r>
      <w:proofErr w:type="spellStart"/>
      <w:r w:rsidRPr="006B738F">
        <w:rPr>
          <w:rFonts w:eastAsia="Times New Roman"/>
          <w:bCs/>
          <w:sz w:val="24"/>
          <w:szCs w:val="24"/>
        </w:rPr>
        <w:t>RpflG</w:t>
      </w:r>
      <w:proofErr w:type="spellEnd"/>
      <w:r w:rsidRPr="006B738F">
        <w:rPr>
          <w:rFonts w:eastAsia="Times New Roman"/>
          <w:bCs/>
          <w:sz w:val="24"/>
          <w:szCs w:val="24"/>
        </w:rPr>
        <w:t>)</w:t>
      </w:r>
    </w:p>
    <w:p w14:paraId="2E5EB891" w14:textId="61B67764" w:rsidR="00974BEB" w:rsidRPr="006B738F" w:rsidRDefault="00974BEB" w:rsidP="006B738F">
      <w:pPr>
        <w:pStyle w:val="Listenabsatz"/>
        <w:numPr>
          <w:ilvl w:val="0"/>
          <w:numId w:val="33"/>
        </w:numPr>
        <w:spacing w:line="240" w:lineRule="auto"/>
        <w:rPr>
          <w:rFonts w:eastAsia="Times New Roman"/>
          <w:bCs/>
          <w:sz w:val="24"/>
          <w:szCs w:val="24"/>
        </w:rPr>
      </w:pPr>
      <w:r w:rsidRPr="006B738F">
        <w:rPr>
          <w:rFonts w:eastAsia="Times New Roman"/>
          <w:bCs/>
          <w:sz w:val="24"/>
          <w:szCs w:val="24"/>
        </w:rPr>
        <w:t xml:space="preserve">Richter = bei </w:t>
      </w:r>
      <w:r w:rsidRPr="006B738F">
        <w:rPr>
          <w:rFonts w:eastAsia="Times New Roman"/>
          <w:bCs/>
          <w:sz w:val="24"/>
          <w:szCs w:val="24"/>
        </w:rPr>
        <w:t>testamentarischer</w:t>
      </w:r>
      <w:r w:rsidRPr="006B738F">
        <w:rPr>
          <w:rFonts w:eastAsia="Times New Roman"/>
          <w:bCs/>
          <w:sz w:val="24"/>
          <w:szCs w:val="24"/>
        </w:rPr>
        <w:t xml:space="preserve"> Erbfolge und Auslandssachen</w:t>
      </w:r>
    </w:p>
    <w:p w14:paraId="02DB5AFC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343E33E3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proofErr w:type="spellStart"/>
      <w:r w:rsidRPr="00D53E0F">
        <w:rPr>
          <w:rFonts w:eastAsia="Times New Roman"/>
          <w:bCs/>
          <w:sz w:val="24"/>
          <w:szCs w:val="24"/>
          <w:u w:val="single"/>
        </w:rPr>
        <w:t>Erbscheinserteilung</w:t>
      </w:r>
      <w:proofErr w:type="spellEnd"/>
      <w:r w:rsidRPr="00D53E0F">
        <w:rPr>
          <w:rFonts w:eastAsia="Times New Roman"/>
          <w:bCs/>
          <w:sz w:val="24"/>
          <w:szCs w:val="24"/>
          <w:u w:val="single"/>
        </w:rPr>
        <w:t xml:space="preserve"> </w:t>
      </w:r>
    </w:p>
    <w:p w14:paraId="51596A1A" w14:textId="77777777" w:rsidR="00974BEB" w:rsidRPr="00D53E0F" w:rsidRDefault="00974BEB" w:rsidP="006B738F">
      <w:pPr>
        <w:numPr>
          <w:ilvl w:val="0"/>
          <w:numId w:val="32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die Ausfertigungen werden nummeriert (um zu wissen, wie viele im Umlauf sind, falls dieser unrichtig sein sollte) (§ 25 (4) Richtlinien f. die Fertigung des Schreibwerks)</w:t>
      </w:r>
    </w:p>
    <w:p w14:paraId="6E4841BB" w14:textId="77777777" w:rsidR="00974BEB" w:rsidRPr="00D53E0F" w:rsidRDefault="00974BEB" w:rsidP="006B738F">
      <w:pPr>
        <w:numPr>
          <w:ilvl w:val="0"/>
          <w:numId w:val="32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auf der Urschrift wird vermerkt, wer welche Ausfertigung wann erhielt</w:t>
      </w:r>
    </w:p>
    <w:p w14:paraId="650E9E6A" w14:textId="1853D3F9" w:rsidR="00974BEB" w:rsidRPr="00D53E0F" w:rsidRDefault="00974BEB" w:rsidP="006B738F">
      <w:pPr>
        <w:numPr>
          <w:ilvl w:val="0"/>
          <w:numId w:val="32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lastRenderedPageBreak/>
        <w:t xml:space="preserve">es </w:t>
      </w:r>
      <w:r>
        <w:rPr>
          <w:rFonts w:eastAsia="Times New Roman"/>
          <w:bCs/>
          <w:sz w:val="24"/>
          <w:szCs w:val="24"/>
        </w:rPr>
        <w:t>soll</w:t>
      </w:r>
      <w:r w:rsidRPr="00D53E0F">
        <w:rPr>
          <w:rFonts w:eastAsia="Times New Roman"/>
          <w:bCs/>
          <w:sz w:val="24"/>
          <w:szCs w:val="24"/>
        </w:rPr>
        <w:t xml:space="preserve"> ein Prägesiegel an der Ausfertigung angebracht (§ 25 (5) Richtlinien f</w:t>
      </w:r>
      <w:r w:rsidR="006B738F">
        <w:rPr>
          <w:rFonts w:eastAsia="Times New Roman"/>
          <w:bCs/>
          <w:sz w:val="24"/>
          <w:szCs w:val="24"/>
        </w:rPr>
        <w:t>ür</w:t>
      </w:r>
      <w:r w:rsidRPr="00D53E0F">
        <w:rPr>
          <w:rFonts w:eastAsia="Times New Roman"/>
          <w:bCs/>
          <w:sz w:val="24"/>
          <w:szCs w:val="24"/>
        </w:rPr>
        <w:t xml:space="preserve"> d</w:t>
      </w:r>
      <w:r w:rsidR="006B738F">
        <w:rPr>
          <w:rFonts w:eastAsia="Times New Roman"/>
          <w:bCs/>
          <w:sz w:val="24"/>
          <w:szCs w:val="24"/>
        </w:rPr>
        <w:t>ie</w:t>
      </w:r>
      <w:r w:rsidRPr="00D53E0F">
        <w:rPr>
          <w:rFonts w:eastAsia="Times New Roman"/>
          <w:bCs/>
          <w:sz w:val="24"/>
          <w:szCs w:val="24"/>
        </w:rPr>
        <w:t xml:space="preserve"> Fertigung des Schreibewerks)</w:t>
      </w:r>
      <w:r>
        <w:rPr>
          <w:rFonts w:eastAsia="Times New Roman"/>
          <w:bCs/>
          <w:sz w:val="24"/>
          <w:szCs w:val="24"/>
        </w:rPr>
        <w:t>, Ausnahmen werden ggf. durch den jeweiligen Präsidenten /Präsidentin des Amtsgerichts genehmigt</w:t>
      </w:r>
    </w:p>
    <w:p w14:paraId="7CE02F88" w14:textId="0ADBD7F4" w:rsidR="00974BEB" w:rsidRPr="00FB4F00" w:rsidRDefault="00974BEB" w:rsidP="006B738F">
      <w:pPr>
        <w:numPr>
          <w:ilvl w:val="0"/>
          <w:numId w:val="32"/>
        </w:numPr>
        <w:spacing w:line="240" w:lineRule="auto"/>
        <w:ind w:right="-284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ist ein Erbschein unrichtig (durch falsche Angaben oder Auffinden eines Testaments) muss dieser eingezogen und</w:t>
      </w:r>
      <w:r>
        <w:rPr>
          <w:rFonts w:eastAsia="Times New Roman"/>
          <w:bCs/>
          <w:sz w:val="24"/>
          <w:szCs w:val="24"/>
        </w:rPr>
        <w:t>/ oder</w:t>
      </w:r>
      <w:r w:rsidRPr="00D53E0F">
        <w:rPr>
          <w:rFonts w:eastAsia="Times New Roman"/>
          <w:bCs/>
          <w:sz w:val="24"/>
          <w:szCs w:val="24"/>
        </w:rPr>
        <w:t xml:space="preserve"> für </w:t>
      </w:r>
      <w:r>
        <w:rPr>
          <w:rFonts w:eastAsia="Times New Roman"/>
          <w:bCs/>
          <w:sz w:val="24"/>
          <w:szCs w:val="24"/>
        </w:rPr>
        <w:t>k</w:t>
      </w:r>
      <w:r w:rsidRPr="00D53E0F">
        <w:rPr>
          <w:rFonts w:eastAsia="Times New Roman"/>
          <w:bCs/>
          <w:sz w:val="24"/>
          <w:szCs w:val="24"/>
        </w:rPr>
        <w:t>raftlos erklärt werden (§ 2361 BGB</w:t>
      </w:r>
      <w:r>
        <w:rPr>
          <w:rFonts w:eastAsia="Times New Roman"/>
          <w:bCs/>
          <w:sz w:val="24"/>
          <w:szCs w:val="24"/>
        </w:rPr>
        <w:t xml:space="preserve"> + 353 </w:t>
      </w:r>
      <w:proofErr w:type="spellStart"/>
      <w:r>
        <w:rPr>
          <w:rFonts w:eastAsia="Times New Roman"/>
          <w:bCs/>
          <w:sz w:val="24"/>
          <w:szCs w:val="24"/>
        </w:rPr>
        <w:t>FamFG</w:t>
      </w:r>
      <w:proofErr w:type="spellEnd"/>
      <w:r w:rsidRPr="00FB4F00">
        <w:rPr>
          <w:rFonts w:eastAsia="Times New Roman"/>
          <w:bCs/>
          <w:sz w:val="24"/>
          <w:szCs w:val="24"/>
        </w:rPr>
        <w:t>)</w:t>
      </w:r>
    </w:p>
    <w:p w14:paraId="3F8C6B3E" w14:textId="77777777" w:rsidR="00974BEB" w:rsidRPr="00D53E0F" w:rsidRDefault="00974BEB" w:rsidP="006B738F">
      <w:pPr>
        <w:numPr>
          <w:ilvl w:val="0"/>
          <w:numId w:val="32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vermeintliche Erben haben den Erbschein herauszugeben und den Nachlass an die wirklichen Erben bzw. den Verbleib des Nachlasses Auskunft zu geben (§ 2362 BGB </w:t>
      </w:r>
      <w:proofErr w:type="spellStart"/>
      <w:r w:rsidRPr="00D53E0F">
        <w:rPr>
          <w:rFonts w:eastAsia="Times New Roman"/>
          <w:bCs/>
          <w:sz w:val="24"/>
          <w:szCs w:val="24"/>
        </w:rPr>
        <w:t>i.V.m</w:t>
      </w:r>
      <w:proofErr w:type="spellEnd"/>
      <w:r w:rsidRPr="00D53E0F">
        <w:rPr>
          <w:rFonts w:eastAsia="Times New Roman"/>
          <w:bCs/>
          <w:sz w:val="24"/>
          <w:szCs w:val="24"/>
        </w:rPr>
        <w:t xml:space="preserve">. § 353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08FB06AA" w14:textId="77777777" w:rsidR="00974BEB" w:rsidRDefault="00974BEB" w:rsidP="006B738F">
      <w:pPr>
        <w:numPr>
          <w:ilvl w:val="0"/>
          <w:numId w:val="32"/>
        </w:numPr>
        <w:spacing w:line="240" w:lineRule="auto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ein Erbschein kann auch nur gegenständlich beschränkt sein (§ 352</w:t>
      </w:r>
      <w:r>
        <w:rPr>
          <w:rFonts w:eastAsia="Times New Roman"/>
          <w:bCs/>
          <w:sz w:val="24"/>
          <w:szCs w:val="24"/>
        </w:rPr>
        <w:t xml:space="preserve"> c</w:t>
      </w:r>
      <w:r w:rsidRPr="00D53E0F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D53E0F">
        <w:rPr>
          <w:rFonts w:eastAsia="Times New Roman"/>
          <w:bCs/>
          <w:sz w:val="24"/>
          <w:szCs w:val="24"/>
        </w:rPr>
        <w:t>FamFG</w:t>
      </w:r>
      <w:proofErr w:type="spellEnd"/>
      <w:r w:rsidRPr="00D53E0F">
        <w:rPr>
          <w:rFonts w:eastAsia="Times New Roman"/>
          <w:bCs/>
          <w:sz w:val="24"/>
          <w:szCs w:val="24"/>
        </w:rPr>
        <w:t xml:space="preserve">); dies bietet sich bei Gegenständen (z.B. Grundstücke), die sich im Ausland befinden an </w:t>
      </w:r>
      <w:r w:rsidRPr="00D53E0F">
        <w:rPr>
          <w:rFonts w:eastAsia="Times New Roman" w:cs="Arial"/>
          <w:bCs/>
          <w:sz w:val="24"/>
          <w:szCs w:val="24"/>
        </w:rPr>
        <w:t>→ ← Europäisches Nachlasszeugnis</w:t>
      </w:r>
    </w:p>
    <w:p w14:paraId="5C4A6FE4" w14:textId="77777777" w:rsidR="006B738F" w:rsidRPr="00D53E0F" w:rsidRDefault="006B738F" w:rsidP="006B738F">
      <w:p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</w:p>
    <w:p w14:paraId="213B52C5" w14:textId="77777777" w:rsidR="00974BEB" w:rsidRPr="006B738F" w:rsidRDefault="00974BEB" w:rsidP="006B738F">
      <w:pPr>
        <w:numPr>
          <w:ilvl w:val="0"/>
          <w:numId w:val="32"/>
        </w:num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 xml:space="preserve">für die Erteilung ist eine Gebühr fällig, richtet sich nach dem Nachlasswert </w:t>
      </w:r>
    </w:p>
    <w:p w14:paraId="7BE30D14" w14:textId="5D38F553" w:rsidR="00974BEB" w:rsidRPr="006B738F" w:rsidRDefault="006B738F" w:rsidP="006B738F">
      <w:pPr>
        <w:pStyle w:val="Listenabsatz"/>
        <w:spacing w:line="240" w:lineRule="auto"/>
        <w:rPr>
          <w:rFonts w:eastAsia="Times New Roman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N</w:t>
      </w:r>
      <w:r w:rsidR="00974BEB" w:rsidRPr="006B738F">
        <w:rPr>
          <w:rFonts w:eastAsia="Times New Roman" w:cs="Arial"/>
          <w:bCs/>
          <w:sz w:val="24"/>
          <w:szCs w:val="24"/>
        </w:rPr>
        <w:t>r. 12120 Gebührentabelle (</w:t>
      </w:r>
      <w:proofErr w:type="spellStart"/>
      <w:r w:rsidR="00974BEB" w:rsidRPr="006B738F">
        <w:rPr>
          <w:rFonts w:eastAsia="Times New Roman" w:cs="Arial"/>
          <w:bCs/>
          <w:sz w:val="24"/>
          <w:szCs w:val="24"/>
        </w:rPr>
        <w:t>GNotKG</w:t>
      </w:r>
      <w:proofErr w:type="spellEnd"/>
      <w:r w:rsidR="00974BEB" w:rsidRPr="006B738F">
        <w:rPr>
          <w:rFonts w:eastAsia="Times New Roman" w:cs="Arial"/>
          <w:bCs/>
          <w:sz w:val="24"/>
          <w:szCs w:val="24"/>
        </w:rPr>
        <w:t>)</w:t>
      </w:r>
    </w:p>
    <w:p w14:paraId="5079BD56" w14:textId="77777777" w:rsidR="00974BEB" w:rsidRPr="00D53E0F" w:rsidRDefault="00974BEB" w:rsidP="00974BEB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14:paraId="69617CDB" w14:textId="77777777" w:rsidR="00974BEB" w:rsidRDefault="00974BEB" w:rsidP="00974BEB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14:paraId="0C56F1B1" w14:textId="77777777" w:rsidR="00974BEB" w:rsidRDefault="00974BEB" w:rsidP="00974BEB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14:paraId="5BFFDDFC" w14:textId="62B401C4" w:rsidR="00974BEB" w:rsidRPr="00974BEB" w:rsidRDefault="00974BEB" w:rsidP="00974BEB">
      <w:pPr>
        <w:spacing w:line="240" w:lineRule="auto"/>
        <w:rPr>
          <w:rFonts w:eastAsia="Times New Roman" w:cs="Arial"/>
          <w:b/>
          <w:sz w:val="28"/>
          <w:szCs w:val="28"/>
        </w:rPr>
      </w:pPr>
      <w:r w:rsidRPr="00974BEB">
        <w:rPr>
          <w:rFonts w:eastAsia="Times New Roman" w:cs="Arial"/>
          <w:b/>
          <w:sz w:val="28"/>
          <w:szCs w:val="28"/>
        </w:rPr>
        <w:t>T</w:t>
      </w:r>
      <w:r w:rsidRPr="00974BEB">
        <w:rPr>
          <w:rFonts w:eastAsia="Times New Roman" w:cs="Arial"/>
          <w:b/>
          <w:sz w:val="28"/>
          <w:szCs w:val="28"/>
        </w:rPr>
        <w:t xml:space="preserve">estamentsvollstrecker/ -zeugnis </w:t>
      </w:r>
      <w:r w:rsidRPr="006B738F">
        <w:rPr>
          <w:rFonts w:eastAsia="Times New Roman" w:cs="Arial"/>
          <w:bCs/>
          <w:sz w:val="24"/>
          <w:szCs w:val="24"/>
        </w:rPr>
        <w:t>§§ 2197 BGB ff. + 2368 BGB</w:t>
      </w:r>
    </w:p>
    <w:p w14:paraId="01F3F321" w14:textId="77777777" w:rsidR="00974BEB" w:rsidRPr="00D53E0F" w:rsidRDefault="00974BEB" w:rsidP="00974BEB">
      <w:pPr>
        <w:spacing w:line="240" w:lineRule="auto"/>
        <w:rPr>
          <w:rFonts w:eastAsia="Times New Roman" w:cs="Arial"/>
          <w:bCs/>
          <w:sz w:val="24"/>
          <w:szCs w:val="24"/>
        </w:rPr>
      </w:pPr>
    </w:p>
    <w:p w14:paraId="06C2DFA8" w14:textId="77777777" w:rsidR="00974BEB" w:rsidRPr="00D53E0F" w:rsidRDefault="00974BEB" w:rsidP="00974BEB">
      <w:pPr>
        <w:spacing w:line="240" w:lineRule="auto"/>
        <w:rPr>
          <w:rFonts w:eastAsia="Times New Roman" w:cs="Arial"/>
          <w:bCs/>
          <w:sz w:val="24"/>
          <w:szCs w:val="24"/>
          <w:u w:val="single"/>
        </w:rPr>
      </w:pPr>
      <w:r w:rsidRPr="00D53E0F">
        <w:rPr>
          <w:rFonts w:eastAsia="Times New Roman" w:cs="Arial"/>
          <w:bCs/>
          <w:sz w:val="24"/>
          <w:szCs w:val="24"/>
          <w:u w:val="single"/>
        </w:rPr>
        <w:t>Sinn</w:t>
      </w:r>
      <w:r>
        <w:rPr>
          <w:rFonts w:eastAsia="Times New Roman" w:cs="Arial"/>
          <w:bCs/>
          <w:sz w:val="24"/>
          <w:szCs w:val="24"/>
          <w:u w:val="single"/>
        </w:rPr>
        <w:t>:</w:t>
      </w:r>
    </w:p>
    <w:p w14:paraId="7D0AD904" w14:textId="5C17B207" w:rsidR="00974BEB" w:rsidRPr="00D53E0F" w:rsidRDefault="00974BEB" w:rsidP="00974BEB">
      <w:pPr>
        <w:numPr>
          <w:ilvl w:val="0"/>
          <w:numId w:val="6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 w:rsidRPr="00D53E0F">
        <w:rPr>
          <w:rFonts w:eastAsia="Times New Roman" w:cs="Arial"/>
          <w:bCs/>
          <w:sz w:val="24"/>
          <w:szCs w:val="24"/>
        </w:rPr>
        <w:t>d</w:t>
      </w:r>
      <w:r w:rsidR="00B90A3B">
        <w:rPr>
          <w:rFonts w:eastAsia="Times New Roman" w:cs="Arial"/>
          <w:bCs/>
          <w:sz w:val="24"/>
          <w:szCs w:val="24"/>
        </w:rPr>
        <w:t>er</w:t>
      </w:r>
      <w:r w:rsidRPr="00D53E0F">
        <w:rPr>
          <w:rFonts w:eastAsia="Times New Roman" w:cs="Arial"/>
          <w:bCs/>
          <w:sz w:val="24"/>
          <w:szCs w:val="24"/>
        </w:rPr>
        <w:t xml:space="preserve"> </w:t>
      </w:r>
      <w:r w:rsidR="00B90A3B">
        <w:rPr>
          <w:rFonts w:eastAsia="Times New Roman" w:cs="Arial"/>
          <w:bCs/>
          <w:sz w:val="24"/>
          <w:szCs w:val="24"/>
        </w:rPr>
        <w:t>geäußerte Wille</w:t>
      </w:r>
      <w:r w:rsidRPr="00D53E0F">
        <w:rPr>
          <w:rFonts w:eastAsia="Times New Roman" w:cs="Arial"/>
          <w:bCs/>
          <w:sz w:val="24"/>
          <w:szCs w:val="24"/>
        </w:rPr>
        <w:t xml:space="preserve"> des Erblassers</w:t>
      </w:r>
      <w:r>
        <w:rPr>
          <w:rFonts w:eastAsia="Times New Roman" w:cs="Arial"/>
          <w:bCs/>
          <w:sz w:val="24"/>
          <w:szCs w:val="24"/>
        </w:rPr>
        <w:t xml:space="preserve"> soll</w:t>
      </w:r>
      <w:r w:rsidRPr="00D53E0F">
        <w:rPr>
          <w:rFonts w:eastAsia="Times New Roman" w:cs="Arial"/>
          <w:bCs/>
          <w:sz w:val="24"/>
          <w:szCs w:val="24"/>
        </w:rPr>
        <w:t xml:space="preserve"> verwirklic</w:t>
      </w:r>
      <w:r w:rsidR="006B738F">
        <w:rPr>
          <w:rFonts w:eastAsia="Times New Roman" w:cs="Arial"/>
          <w:bCs/>
          <w:sz w:val="24"/>
          <w:szCs w:val="24"/>
        </w:rPr>
        <w:t>ht werd</w:t>
      </w:r>
      <w:r w:rsidR="00B90A3B">
        <w:rPr>
          <w:rFonts w:eastAsia="Times New Roman" w:cs="Arial"/>
          <w:bCs/>
          <w:sz w:val="24"/>
          <w:szCs w:val="24"/>
        </w:rPr>
        <w:t>en</w:t>
      </w:r>
      <w:r w:rsidRPr="00D53E0F">
        <w:rPr>
          <w:rFonts w:eastAsia="Times New Roman" w:cs="Arial"/>
          <w:bCs/>
          <w:sz w:val="24"/>
          <w:szCs w:val="24"/>
        </w:rPr>
        <w:t xml:space="preserve"> </w:t>
      </w:r>
    </w:p>
    <w:p w14:paraId="24346D00" w14:textId="1BD7BFB0" w:rsidR="00974BEB" w:rsidRPr="00D53E0F" w:rsidRDefault="006B738F" w:rsidP="00974BEB">
      <w:pPr>
        <w:numPr>
          <w:ilvl w:val="0"/>
          <w:numId w:val="6"/>
        </w:numPr>
        <w:spacing w:line="240" w:lineRule="auto"/>
        <w:ind w:left="426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durch den Testamentsvollstrecker sollen evt</w:t>
      </w:r>
      <w:r w:rsidR="00B90A3B">
        <w:rPr>
          <w:rFonts w:eastAsia="Times New Roman" w:cs="Arial"/>
          <w:bCs/>
          <w:sz w:val="24"/>
          <w:szCs w:val="24"/>
        </w:rPr>
        <w:t>l</w:t>
      </w:r>
      <w:r>
        <w:rPr>
          <w:rFonts w:eastAsia="Times New Roman" w:cs="Arial"/>
          <w:bCs/>
          <w:sz w:val="24"/>
          <w:szCs w:val="24"/>
        </w:rPr>
        <w:t>. vorhandene Konflikte innerhalb der Erbengem</w:t>
      </w:r>
      <w:r w:rsidR="00B90A3B">
        <w:rPr>
          <w:rFonts w:eastAsia="Times New Roman" w:cs="Arial"/>
          <w:bCs/>
          <w:sz w:val="24"/>
          <w:szCs w:val="24"/>
        </w:rPr>
        <w:t>e</w:t>
      </w:r>
      <w:r>
        <w:rPr>
          <w:rFonts w:eastAsia="Times New Roman" w:cs="Arial"/>
          <w:bCs/>
          <w:sz w:val="24"/>
          <w:szCs w:val="24"/>
        </w:rPr>
        <w:t>inschaft vermieden oder gemindert werden</w:t>
      </w:r>
    </w:p>
    <w:p w14:paraId="0A465B9D" w14:textId="5B99F1EE" w:rsidR="00974BEB" w:rsidRPr="00D53E0F" w:rsidRDefault="00974BEB" w:rsidP="00974BEB">
      <w:pPr>
        <w:numPr>
          <w:ilvl w:val="0"/>
          <w:numId w:val="6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ggf.</w:t>
      </w:r>
      <w:r w:rsidR="00B90A3B">
        <w:rPr>
          <w:rFonts w:eastAsia="Times New Roman"/>
          <w:bCs/>
          <w:sz w:val="24"/>
          <w:szCs w:val="24"/>
        </w:rPr>
        <w:t xml:space="preserve"> kann durch die Sachkunde des Testamentsvollstreckers</w:t>
      </w:r>
      <w:r w:rsidRPr="00D53E0F">
        <w:rPr>
          <w:rFonts w:eastAsia="Times New Roman"/>
          <w:bCs/>
          <w:sz w:val="24"/>
          <w:szCs w:val="24"/>
        </w:rPr>
        <w:t xml:space="preserve">  de</w:t>
      </w:r>
      <w:r w:rsidR="00B90A3B">
        <w:rPr>
          <w:rFonts w:eastAsia="Times New Roman"/>
          <w:bCs/>
          <w:sz w:val="24"/>
          <w:szCs w:val="24"/>
        </w:rPr>
        <w:t>r</w:t>
      </w:r>
      <w:r w:rsidRPr="00D53E0F">
        <w:rPr>
          <w:rFonts w:eastAsia="Times New Roman"/>
          <w:bCs/>
          <w:sz w:val="24"/>
          <w:szCs w:val="24"/>
        </w:rPr>
        <w:t xml:space="preserve"> Nachlass </w:t>
      </w:r>
      <w:r w:rsidR="00B90A3B" w:rsidRPr="00D53E0F">
        <w:rPr>
          <w:rFonts w:eastAsia="Times New Roman"/>
          <w:bCs/>
          <w:sz w:val="24"/>
          <w:szCs w:val="24"/>
        </w:rPr>
        <w:t>für die Erben</w:t>
      </w:r>
      <w:r w:rsidR="00B90A3B" w:rsidRPr="00D53E0F">
        <w:rPr>
          <w:rFonts w:eastAsia="Times New Roman"/>
          <w:bCs/>
          <w:sz w:val="24"/>
          <w:szCs w:val="24"/>
        </w:rPr>
        <w:t xml:space="preserve"> </w:t>
      </w:r>
      <w:r w:rsidRPr="00D53E0F">
        <w:rPr>
          <w:rFonts w:eastAsia="Times New Roman"/>
          <w:bCs/>
          <w:sz w:val="24"/>
          <w:szCs w:val="24"/>
        </w:rPr>
        <w:t>wirtschaftlich verwalte</w:t>
      </w:r>
      <w:r w:rsidR="00B90A3B">
        <w:rPr>
          <w:rFonts w:eastAsia="Times New Roman"/>
          <w:bCs/>
          <w:sz w:val="24"/>
          <w:szCs w:val="24"/>
        </w:rPr>
        <w:t>t werden</w:t>
      </w:r>
      <w:r w:rsidRPr="00D53E0F">
        <w:rPr>
          <w:rFonts w:eastAsia="Times New Roman"/>
          <w:bCs/>
          <w:sz w:val="24"/>
          <w:szCs w:val="24"/>
        </w:rPr>
        <w:t>,</w:t>
      </w:r>
      <w:r w:rsidR="00B90A3B">
        <w:rPr>
          <w:rFonts w:eastAsia="Times New Roman"/>
          <w:bCs/>
          <w:sz w:val="24"/>
          <w:szCs w:val="24"/>
        </w:rPr>
        <w:t xml:space="preserve"> wenn diese z.B</w:t>
      </w:r>
      <w:r w:rsidRPr="00D53E0F">
        <w:rPr>
          <w:rFonts w:eastAsia="Times New Roman"/>
          <w:bCs/>
          <w:sz w:val="24"/>
          <w:szCs w:val="24"/>
        </w:rPr>
        <w:t xml:space="preserve">. geschäftlich unerfahren sind </w:t>
      </w:r>
    </w:p>
    <w:p w14:paraId="48355BDE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42123894" w14:textId="12775900" w:rsidR="00974BEB" w:rsidRPr="00D53E0F" w:rsidRDefault="00B90A3B" w:rsidP="00B90A3B">
      <w:pPr>
        <w:spacing w:line="240" w:lineRule="auto"/>
        <w:ind w:left="426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</w:t>
      </w:r>
      <w:r w:rsidR="00974BEB" w:rsidRPr="00D53E0F">
        <w:rPr>
          <w:rFonts w:eastAsia="Times New Roman"/>
          <w:bCs/>
          <w:sz w:val="24"/>
          <w:szCs w:val="24"/>
        </w:rPr>
        <w:t xml:space="preserve">er Testamentsvollstrecker hat den letzten Willen des Erblassers auszuführen, den Nachlass zu verwalten und die Auseinandersetzung vorzunehmen </w:t>
      </w:r>
    </w:p>
    <w:p w14:paraId="501152F1" w14:textId="77777777" w:rsidR="00974BEB" w:rsidRPr="00D53E0F" w:rsidRDefault="00974BEB" w:rsidP="00974BEB">
      <w:pPr>
        <w:spacing w:line="240" w:lineRule="auto"/>
        <w:ind w:firstLine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(§§ 2203 – 2205 BGB)</w:t>
      </w:r>
    </w:p>
    <w:p w14:paraId="43A7C4D6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1637250E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>wird bestimmt durch:</w:t>
      </w:r>
    </w:p>
    <w:p w14:paraId="5C953F5C" w14:textId="77777777" w:rsidR="00974BEB" w:rsidRPr="00D53E0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ein Testament (§ 2197 BGB)</w:t>
      </w:r>
    </w:p>
    <w:p w14:paraId="64AC8BE1" w14:textId="77777777" w:rsidR="00974BEB" w:rsidRPr="00D53E0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auf Ersuchen des Erblassers von einem Dritten (§ 2198 BGB) oder</w:t>
      </w:r>
    </w:p>
    <w:p w14:paraId="4A7F2050" w14:textId="77777777" w:rsidR="00974BEB" w:rsidRPr="00D53E0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das Nachlassgericht (§ 2200 BGB) </w:t>
      </w:r>
    </w:p>
    <w:p w14:paraId="0A077448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5B04B21D" w14:textId="77777777" w:rsidR="00974BEB" w:rsidRPr="00D53E0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der Nachlass steht den Erben zu, durch den Testamentsvollstrecker werden die Verfügungsbefugnisse der Erben aber beschränkt</w:t>
      </w:r>
    </w:p>
    <w:p w14:paraId="5E31F912" w14:textId="77777777" w:rsidR="00974BEB" w:rsidRPr="00D53E0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der Testamentsvollstrecker kann grundsätzlich über den Nachlass verfügen, ist aber gegenüber den Erben zu einer ordnungsgemäßen Verwaltung verpflichtet</w:t>
      </w:r>
    </w:p>
    <w:p w14:paraId="2999930C" w14:textId="1035149B" w:rsidR="00974BEB" w:rsidRPr="006B738F" w:rsidRDefault="00974BEB" w:rsidP="00974BEB">
      <w:pPr>
        <w:numPr>
          <w:ilvl w:val="0"/>
          <w:numId w:val="7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der Erblasser kann durch Testament die Befugnisse seines Testamentsvollstreckers beschränken oder erweitern</w:t>
      </w:r>
    </w:p>
    <w:p w14:paraId="03AB08C8" w14:textId="77777777" w:rsidR="00974BEB" w:rsidRPr="00D53E0F" w:rsidRDefault="00974BEB" w:rsidP="00974BEB">
      <w:pPr>
        <w:numPr>
          <w:ilvl w:val="0"/>
          <w:numId w:val="5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der Test.-vollstrecker kann das Amt annehmen bzw. ablehnen, diese Erklärung erfolgt vor dem Nachlassgericht (§ 2202 BGB)</w:t>
      </w:r>
    </w:p>
    <w:p w14:paraId="537C96D4" w14:textId="77777777" w:rsidR="00974BEB" w:rsidRPr="00D53E0F" w:rsidRDefault="00974BEB" w:rsidP="00974BEB">
      <w:pPr>
        <w:numPr>
          <w:ilvl w:val="0"/>
          <w:numId w:val="5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auf Antrag kann ein Testamentsvollstreckerzeugnis beantragt werden, die Vorschriften des Erbscheinsantrags sind entsprechend </w:t>
      </w:r>
    </w:p>
    <w:p w14:paraId="6DB3295D" w14:textId="77777777" w:rsidR="00974BEB" w:rsidRPr="00D53E0F" w:rsidRDefault="00974BEB" w:rsidP="00974BEB">
      <w:pPr>
        <w:numPr>
          <w:ilvl w:val="0"/>
          <w:numId w:val="5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funktionell zuständig ist der Richter</w:t>
      </w:r>
    </w:p>
    <w:p w14:paraId="0D46D9A3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7217F7A3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60E74164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657A6AAE" w14:textId="77777777" w:rsidR="00974BEB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20F0C80A" w14:textId="77777777" w:rsidR="006B738F" w:rsidRDefault="006B738F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648922D4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1C84159D" w14:textId="492F499D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/>
          <w:bCs/>
          <w:sz w:val="30"/>
          <w:szCs w:val="30"/>
        </w:rPr>
        <w:t>Europäisches Nachlasszeugnis (ENZ)</w:t>
      </w:r>
      <w:r w:rsidRPr="00D53E0F">
        <w:rPr>
          <w:rFonts w:eastAsia="Times New Roman"/>
          <w:bCs/>
          <w:sz w:val="24"/>
          <w:szCs w:val="24"/>
        </w:rPr>
        <w:t xml:space="preserve"> Art 62 ff. </w:t>
      </w:r>
      <w:proofErr w:type="spellStart"/>
      <w:r w:rsidRPr="00D53E0F">
        <w:rPr>
          <w:rFonts w:eastAsia="Times New Roman"/>
          <w:bCs/>
          <w:sz w:val="24"/>
          <w:szCs w:val="24"/>
        </w:rPr>
        <w:t>EuErbVo</w:t>
      </w:r>
      <w:proofErr w:type="spellEnd"/>
    </w:p>
    <w:p w14:paraId="123DE302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6B3A7554" w14:textId="77777777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gilt für Erbfälle nach dem 16.08.2015</w:t>
      </w:r>
    </w:p>
    <w:p w14:paraId="3CB3FACC" w14:textId="77777777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ist ein Nachweisdokument für die Erben, um die Rechtsstellung am Nachlass gegenüber anderen europäischen Mitgliedstaaten beweisen zu können </w:t>
      </w:r>
    </w:p>
    <w:p w14:paraId="5FA93182" w14:textId="77777777" w:rsidR="00974BEB" w:rsidRPr="00D53E0F" w:rsidRDefault="00974BEB" w:rsidP="00974BEB">
      <w:pPr>
        <w:spacing w:line="240" w:lineRule="auto"/>
        <w:ind w:firstLine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(Art. 63 2.a </w:t>
      </w:r>
      <w:proofErr w:type="spellStart"/>
      <w:r w:rsidRPr="00D53E0F">
        <w:rPr>
          <w:rFonts w:eastAsia="Times New Roman"/>
          <w:bCs/>
          <w:sz w:val="24"/>
          <w:szCs w:val="24"/>
        </w:rPr>
        <w:t>EuErbVo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78DD3A6A" w14:textId="77777777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für die Erteilung des ENZ ist ein Antrag sowie eine eidesstaatliche Versicherung notwendig (Art 65 </w:t>
      </w:r>
      <w:proofErr w:type="spellStart"/>
      <w:r w:rsidRPr="00D53E0F">
        <w:rPr>
          <w:rFonts w:eastAsia="Times New Roman"/>
          <w:bCs/>
          <w:sz w:val="24"/>
          <w:szCs w:val="24"/>
        </w:rPr>
        <w:t>EuErbVo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5A16EDD1" w14:textId="77777777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zuständig ist das Gericht, in welchem Bezirk der Erblasser seinen letzten Wohnsitz hatte (Art. 64 </w:t>
      </w:r>
      <w:proofErr w:type="spellStart"/>
      <w:r w:rsidRPr="00D53E0F">
        <w:rPr>
          <w:rFonts w:eastAsia="Times New Roman"/>
          <w:bCs/>
          <w:sz w:val="24"/>
          <w:szCs w:val="24"/>
        </w:rPr>
        <w:t>EuErbVo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3CAE47C3" w14:textId="4407FB6E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es wird </w:t>
      </w:r>
      <w:r w:rsidRPr="00D53E0F">
        <w:rPr>
          <w:rFonts w:eastAsia="Times New Roman"/>
          <w:bCs/>
          <w:sz w:val="24"/>
          <w:szCs w:val="24"/>
          <w:u w:val="single"/>
        </w:rPr>
        <w:t>keine</w:t>
      </w:r>
      <w:r w:rsidRPr="00D53E0F">
        <w:rPr>
          <w:rFonts w:eastAsia="Times New Roman"/>
          <w:bCs/>
          <w:sz w:val="24"/>
          <w:szCs w:val="24"/>
        </w:rPr>
        <w:t xml:space="preserve"> </w:t>
      </w:r>
      <w:r w:rsidRPr="00D53E0F">
        <w:rPr>
          <w:rFonts w:eastAsia="Times New Roman"/>
          <w:bCs/>
          <w:sz w:val="24"/>
          <w:szCs w:val="24"/>
        </w:rPr>
        <w:t>Ausfertigung,</w:t>
      </w:r>
      <w:r w:rsidRPr="00D53E0F">
        <w:rPr>
          <w:rFonts w:eastAsia="Times New Roman"/>
          <w:bCs/>
          <w:sz w:val="24"/>
          <w:szCs w:val="24"/>
        </w:rPr>
        <w:t xml:space="preserve"> sondern eine beglaubigte Abschrift gefertigt, die 6 Monate gültig ist (Art. 70 (3) </w:t>
      </w:r>
      <w:proofErr w:type="spellStart"/>
      <w:r w:rsidRPr="00D53E0F">
        <w:rPr>
          <w:rFonts w:eastAsia="Times New Roman"/>
          <w:bCs/>
          <w:sz w:val="24"/>
          <w:szCs w:val="24"/>
        </w:rPr>
        <w:t>EuErbVo</w:t>
      </w:r>
      <w:proofErr w:type="spellEnd"/>
      <w:r w:rsidRPr="00D53E0F">
        <w:rPr>
          <w:rFonts w:eastAsia="Times New Roman"/>
          <w:bCs/>
          <w:sz w:val="24"/>
          <w:szCs w:val="24"/>
        </w:rPr>
        <w:t>)</w:t>
      </w:r>
    </w:p>
    <w:p w14:paraId="0503DFB5" w14:textId="77777777" w:rsidR="00974BEB" w:rsidRPr="00D53E0F" w:rsidRDefault="00974BEB" w:rsidP="00974BEB">
      <w:pPr>
        <w:numPr>
          <w:ilvl w:val="0"/>
          <w:numId w:val="8"/>
        </w:num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die Gültigkeitsfrist bzw. eine neue beglaubigte Abschrift kann gegen Entgelt verlangt werden</w:t>
      </w:r>
    </w:p>
    <w:p w14:paraId="00A9CA65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0CC63B8B" w14:textId="77777777" w:rsidR="00974BEB" w:rsidRPr="00D53E0F" w:rsidRDefault="00974BEB" w:rsidP="00974BEB">
      <w:pPr>
        <w:spacing w:line="240" w:lineRule="auto"/>
        <w:rPr>
          <w:rFonts w:eastAsia="Times New Roman"/>
          <w:bCs/>
          <w:sz w:val="24"/>
          <w:szCs w:val="24"/>
        </w:rPr>
      </w:pPr>
    </w:p>
    <w:p w14:paraId="33B053CA" w14:textId="77777777" w:rsidR="00974BEB" w:rsidRDefault="00974BEB" w:rsidP="00974BEB">
      <w:pPr>
        <w:spacing w:line="240" w:lineRule="auto"/>
        <w:rPr>
          <w:rFonts w:eastAsia="Times New Roman"/>
          <w:b/>
          <w:bCs/>
          <w:sz w:val="30"/>
          <w:szCs w:val="30"/>
        </w:rPr>
      </w:pPr>
    </w:p>
    <w:p w14:paraId="0EC45962" w14:textId="77777777" w:rsidR="00974BEB" w:rsidRDefault="00974BEB" w:rsidP="00974BEB">
      <w:pPr>
        <w:spacing w:line="240" w:lineRule="auto"/>
        <w:rPr>
          <w:rFonts w:eastAsia="Times New Roman"/>
          <w:b/>
          <w:bCs/>
          <w:sz w:val="30"/>
          <w:szCs w:val="30"/>
        </w:rPr>
      </w:pPr>
    </w:p>
    <w:sectPr w:rsidR="00974BEB" w:rsidSect="00974BEB">
      <w:footerReference w:type="default" r:id="rId5"/>
      <w:pgSz w:w="11906" w:h="16838"/>
      <w:pgMar w:top="993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176148"/>
      <w:docPartObj>
        <w:docPartGallery w:val="Page Numbers (Bottom of Page)"/>
        <w:docPartUnique/>
      </w:docPartObj>
    </w:sdtPr>
    <w:sdtEndPr/>
    <w:sdtContent>
      <w:p w14:paraId="7108ECB9" w14:textId="77777777" w:rsidR="00B90A3B" w:rsidRDefault="00B90A3B">
        <w:pPr>
          <w:pStyle w:val="Fuzeile"/>
          <w:jc w:val="center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7E6E6C0A" w14:textId="77777777" w:rsidR="00B90A3B" w:rsidRDefault="00B90A3B">
    <w:pPr>
      <w:pStyle w:val="Fuzeil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38"/>
    <w:multiLevelType w:val="hybridMultilevel"/>
    <w:tmpl w:val="C73AA676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BFB"/>
    <w:multiLevelType w:val="hybridMultilevel"/>
    <w:tmpl w:val="AEB4C0F6"/>
    <w:lvl w:ilvl="0" w:tplc="6894737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107236"/>
    <w:multiLevelType w:val="hybridMultilevel"/>
    <w:tmpl w:val="AF92E296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0994"/>
    <w:multiLevelType w:val="hybridMultilevel"/>
    <w:tmpl w:val="DAAA66B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6825"/>
    <w:multiLevelType w:val="hybridMultilevel"/>
    <w:tmpl w:val="5EB240C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114731"/>
    <w:multiLevelType w:val="hybridMultilevel"/>
    <w:tmpl w:val="CB10D11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AE631F"/>
    <w:multiLevelType w:val="hybridMultilevel"/>
    <w:tmpl w:val="241C944A"/>
    <w:lvl w:ilvl="0" w:tplc="6894737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6C4BDD"/>
    <w:multiLevelType w:val="hybridMultilevel"/>
    <w:tmpl w:val="6A78073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753A6"/>
    <w:multiLevelType w:val="hybridMultilevel"/>
    <w:tmpl w:val="DBCCBAA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B0BA7"/>
    <w:multiLevelType w:val="hybridMultilevel"/>
    <w:tmpl w:val="60368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2045"/>
    <w:multiLevelType w:val="hybridMultilevel"/>
    <w:tmpl w:val="815C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5BFE"/>
    <w:multiLevelType w:val="hybridMultilevel"/>
    <w:tmpl w:val="CC80086A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13D9F"/>
    <w:multiLevelType w:val="hybridMultilevel"/>
    <w:tmpl w:val="995E149A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32B"/>
    <w:multiLevelType w:val="hybridMultilevel"/>
    <w:tmpl w:val="DB665726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A3400"/>
    <w:multiLevelType w:val="hybridMultilevel"/>
    <w:tmpl w:val="2A06705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E1854"/>
    <w:multiLevelType w:val="hybridMultilevel"/>
    <w:tmpl w:val="EFB0DC26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7BC8"/>
    <w:multiLevelType w:val="hybridMultilevel"/>
    <w:tmpl w:val="B5FE87F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3D27"/>
    <w:multiLevelType w:val="hybridMultilevel"/>
    <w:tmpl w:val="71E84DE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FB1"/>
    <w:multiLevelType w:val="hybridMultilevel"/>
    <w:tmpl w:val="30F8F6E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620F"/>
    <w:multiLevelType w:val="hybridMultilevel"/>
    <w:tmpl w:val="4B30E788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737BB"/>
    <w:multiLevelType w:val="hybridMultilevel"/>
    <w:tmpl w:val="7918F8E0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24CBA"/>
    <w:multiLevelType w:val="hybridMultilevel"/>
    <w:tmpl w:val="61FED9E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57C95"/>
    <w:multiLevelType w:val="hybridMultilevel"/>
    <w:tmpl w:val="73B6B0D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D7925"/>
    <w:multiLevelType w:val="hybridMultilevel"/>
    <w:tmpl w:val="9C1A117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026B6"/>
    <w:multiLevelType w:val="hybridMultilevel"/>
    <w:tmpl w:val="A336E5A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C0748"/>
    <w:multiLevelType w:val="hybridMultilevel"/>
    <w:tmpl w:val="11262236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83F42"/>
    <w:multiLevelType w:val="hybridMultilevel"/>
    <w:tmpl w:val="BFD03B9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672F0"/>
    <w:multiLevelType w:val="hybridMultilevel"/>
    <w:tmpl w:val="A6523AF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D13D5"/>
    <w:multiLevelType w:val="hybridMultilevel"/>
    <w:tmpl w:val="2B604A9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11C71"/>
    <w:multiLevelType w:val="hybridMultilevel"/>
    <w:tmpl w:val="F3EE7AC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B05AA"/>
    <w:multiLevelType w:val="hybridMultilevel"/>
    <w:tmpl w:val="FDBCDA2E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16329"/>
    <w:multiLevelType w:val="hybridMultilevel"/>
    <w:tmpl w:val="A9BC41C8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F0B88"/>
    <w:multiLevelType w:val="hybridMultilevel"/>
    <w:tmpl w:val="4A70F9A0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A2B49"/>
    <w:multiLevelType w:val="hybridMultilevel"/>
    <w:tmpl w:val="9BC8CDFC"/>
    <w:lvl w:ilvl="0" w:tplc="6894737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6F79AD"/>
    <w:multiLevelType w:val="hybridMultilevel"/>
    <w:tmpl w:val="4B020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7281">
    <w:abstractNumId w:val="20"/>
  </w:num>
  <w:num w:numId="2" w16cid:durableId="2090273072">
    <w:abstractNumId w:val="0"/>
  </w:num>
  <w:num w:numId="3" w16cid:durableId="645667090">
    <w:abstractNumId w:val="15"/>
  </w:num>
  <w:num w:numId="4" w16cid:durableId="1259368468">
    <w:abstractNumId w:val="21"/>
  </w:num>
  <w:num w:numId="5" w16cid:durableId="1269701792">
    <w:abstractNumId w:val="1"/>
  </w:num>
  <w:num w:numId="6" w16cid:durableId="1307397141">
    <w:abstractNumId w:val="6"/>
  </w:num>
  <w:num w:numId="7" w16cid:durableId="631786095">
    <w:abstractNumId w:val="33"/>
  </w:num>
  <w:num w:numId="8" w16cid:durableId="1847938201">
    <w:abstractNumId w:val="30"/>
  </w:num>
  <w:num w:numId="9" w16cid:durableId="1991860855">
    <w:abstractNumId w:val="16"/>
  </w:num>
  <w:num w:numId="10" w16cid:durableId="1794515746">
    <w:abstractNumId w:val="22"/>
  </w:num>
  <w:num w:numId="11" w16cid:durableId="1531914646">
    <w:abstractNumId w:val="32"/>
  </w:num>
  <w:num w:numId="12" w16cid:durableId="699549264">
    <w:abstractNumId w:val="31"/>
  </w:num>
  <w:num w:numId="13" w16cid:durableId="1904412151">
    <w:abstractNumId w:val="29"/>
  </w:num>
  <w:num w:numId="14" w16cid:durableId="1416170997">
    <w:abstractNumId w:val="3"/>
  </w:num>
  <w:num w:numId="15" w16cid:durableId="1462000215">
    <w:abstractNumId w:val="8"/>
  </w:num>
  <w:num w:numId="16" w16cid:durableId="446629182">
    <w:abstractNumId w:val="27"/>
  </w:num>
  <w:num w:numId="17" w16cid:durableId="1115828628">
    <w:abstractNumId w:val="28"/>
  </w:num>
  <w:num w:numId="18" w16cid:durableId="1599561648">
    <w:abstractNumId w:val="14"/>
  </w:num>
  <w:num w:numId="19" w16cid:durableId="1560244522">
    <w:abstractNumId w:val="23"/>
  </w:num>
  <w:num w:numId="20" w16cid:durableId="1218123735">
    <w:abstractNumId w:val="17"/>
  </w:num>
  <w:num w:numId="21" w16cid:durableId="1455826904">
    <w:abstractNumId w:val="25"/>
  </w:num>
  <w:num w:numId="22" w16cid:durableId="769013508">
    <w:abstractNumId w:val="24"/>
  </w:num>
  <w:num w:numId="23" w16cid:durableId="447117044">
    <w:abstractNumId w:val="26"/>
  </w:num>
  <w:num w:numId="24" w16cid:durableId="1874150189">
    <w:abstractNumId w:val="34"/>
  </w:num>
  <w:num w:numId="25" w16cid:durableId="177544170">
    <w:abstractNumId w:val="11"/>
  </w:num>
  <w:num w:numId="26" w16cid:durableId="434326275">
    <w:abstractNumId w:val="13"/>
  </w:num>
  <w:num w:numId="27" w16cid:durableId="520360434">
    <w:abstractNumId w:val="18"/>
  </w:num>
  <w:num w:numId="28" w16cid:durableId="894509813">
    <w:abstractNumId w:val="7"/>
  </w:num>
  <w:num w:numId="29" w16cid:durableId="1261256004">
    <w:abstractNumId w:val="12"/>
  </w:num>
  <w:num w:numId="30" w16cid:durableId="97723077">
    <w:abstractNumId w:val="2"/>
  </w:num>
  <w:num w:numId="31" w16cid:durableId="897016216">
    <w:abstractNumId w:val="19"/>
  </w:num>
  <w:num w:numId="32" w16cid:durableId="1274556840">
    <w:abstractNumId w:val="9"/>
  </w:num>
  <w:num w:numId="33" w16cid:durableId="176389749">
    <w:abstractNumId w:val="5"/>
  </w:num>
  <w:num w:numId="34" w16cid:durableId="1451822407">
    <w:abstractNumId w:val="4"/>
  </w:num>
  <w:num w:numId="35" w16cid:durableId="1964728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EB"/>
    <w:rsid w:val="002D1B09"/>
    <w:rsid w:val="003339E4"/>
    <w:rsid w:val="004B08B7"/>
    <w:rsid w:val="005C4E51"/>
    <w:rsid w:val="006B738F"/>
    <w:rsid w:val="007A66DD"/>
    <w:rsid w:val="00821980"/>
    <w:rsid w:val="00974BEB"/>
    <w:rsid w:val="00B90A3B"/>
    <w:rsid w:val="00CE671E"/>
    <w:rsid w:val="00E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30E0"/>
  <w15:chartTrackingRefBased/>
  <w15:docId w15:val="{AC3A92C3-DBA6-462D-88E3-C323BD67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lang w:val="de-DE" w:eastAsia="de-DE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BEB"/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4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B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B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B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B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4B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4B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4B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B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B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B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B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B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B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97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B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B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BEB"/>
    <w:rPr>
      <w:i/>
      <w:iCs/>
      <w:color w:val="404040" w:themeColor="text1" w:themeTint="BF"/>
      <w:sz w:val="22"/>
      <w:szCs w:val="22"/>
    </w:rPr>
  </w:style>
  <w:style w:type="paragraph" w:styleId="Listenabsatz">
    <w:name w:val="List Paragraph"/>
    <w:basedOn w:val="Standard"/>
    <w:uiPriority w:val="34"/>
    <w:qFormat/>
    <w:rsid w:val="00974B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BE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B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BEB"/>
    <w:rPr>
      <w:i/>
      <w:iCs/>
      <w:color w:val="365F91" w:themeColor="accent1" w:themeShade="BF"/>
      <w:sz w:val="22"/>
      <w:szCs w:val="22"/>
    </w:rPr>
  </w:style>
  <w:style w:type="character" w:styleId="IntensiverVerweis">
    <w:name w:val="Intense Reference"/>
    <w:basedOn w:val="Absatz-Standardschriftart"/>
    <w:uiPriority w:val="32"/>
    <w:qFormat/>
    <w:rsid w:val="00974BEB"/>
    <w:rPr>
      <w:b/>
      <w:bCs/>
      <w:smallCaps/>
      <w:color w:val="365F9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974BEB"/>
    <w:pPr>
      <w:tabs>
        <w:tab w:val="center" w:pos="4536"/>
        <w:tab w:val="right" w:pos="9072"/>
      </w:tabs>
      <w:spacing w:line="240" w:lineRule="auto"/>
    </w:pPr>
    <w:rPr>
      <w:rFonts w:eastAsia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74BEB"/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Beatrix</dc:creator>
  <cp:keywords/>
  <dc:description/>
  <cp:lastModifiedBy>Krüger, Beatrix</cp:lastModifiedBy>
  <cp:revision>1</cp:revision>
  <cp:lastPrinted>2025-11-10T09:55:00Z</cp:lastPrinted>
  <dcterms:created xsi:type="dcterms:W3CDTF">2025-11-10T09:15:00Z</dcterms:created>
  <dcterms:modified xsi:type="dcterms:W3CDTF">2025-11-10T10:21:00Z</dcterms:modified>
</cp:coreProperties>
</file>