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12" w:rsidRPr="00591AED" w:rsidRDefault="004A1112" w:rsidP="004A1112">
      <w:pPr>
        <w:spacing w:line="360" w:lineRule="auto"/>
        <w:rPr>
          <w:b/>
          <w:color w:val="808080" w:themeColor="background1" w:themeShade="80"/>
          <w:sz w:val="22"/>
          <w:szCs w:val="22"/>
        </w:rPr>
      </w:pPr>
      <w:r w:rsidRPr="00591AED">
        <w:rPr>
          <w:b/>
          <w:color w:val="808080" w:themeColor="background1" w:themeShade="80"/>
          <w:sz w:val="22"/>
          <w:szCs w:val="22"/>
        </w:rPr>
        <w:t>INSOLVENZRECHT</w:t>
      </w:r>
    </w:p>
    <w:p w:rsidR="00E74C70" w:rsidRDefault="00E74C70" w:rsidP="00E74C70">
      <w:pPr>
        <w:pStyle w:val="Listenabsatz"/>
        <w:pBdr>
          <w:bottom w:val="single" w:sz="12" w:space="1" w:color="auto"/>
        </w:pBdr>
        <w:spacing w:line="360" w:lineRule="auto"/>
        <w:ind w:left="0"/>
        <w:rPr>
          <w:b/>
        </w:rPr>
      </w:pPr>
      <w:r w:rsidRPr="00C916F0">
        <w:rPr>
          <w:b/>
        </w:rPr>
        <w:t xml:space="preserve">Das Verbraucherinsolvenzverfahren mit </w:t>
      </w:r>
      <w:proofErr w:type="spellStart"/>
      <w:proofErr w:type="gramStart"/>
      <w:r w:rsidRPr="00C916F0">
        <w:rPr>
          <w:b/>
        </w:rPr>
        <w:t>gerichtl</w:t>
      </w:r>
      <w:r>
        <w:rPr>
          <w:b/>
        </w:rPr>
        <w:t>.</w:t>
      </w:r>
      <w:r w:rsidRPr="00C916F0">
        <w:rPr>
          <w:b/>
        </w:rPr>
        <w:t>Sc</w:t>
      </w:r>
      <w:r>
        <w:rPr>
          <w:b/>
        </w:rPr>
        <w:t>huldenbereinigungsplanverfahren</w:t>
      </w:r>
      <w:proofErr w:type="spellEnd"/>
      <w:proofErr w:type="gramEnd"/>
      <w:r w:rsidRPr="00C916F0">
        <w:rPr>
          <w:b/>
        </w:rPr>
        <w:t xml:space="preserve"> </w:t>
      </w:r>
    </w:p>
    <w:p w:rsidR="00E74C70" w:rsidRDefault="00E74C70" w:rsidP="004A1112">
      <w:pPr>
        <w:spacing w:line="360" w:lineRule="auto"/>
        <w:rPr>
          <w:b/>
        </w:rPr>
      </w:pPr>
    </w:p>
    <w:p w:rsidR="00E74C70" w:rsidRDefault="00C916F0" w:rsidP="001D04C8">
      <w:pPr>
        <w:spacing w:line="360" w:lineRule="auto"/>
        <w:contextualSpacing/>
        <w:rPr>
          <w:rFonts w:cs="Arial"/>
        </w:rPr>
      </w:pPr>
      <w:r w:rsidRPr="001D04C8">
        <w:t xml:space="preserve">Das Verbraucherinsolvenzverfahren ist ein </w:t>
      </w:r>
      <w:r w:rsidRPr="001D04C8">
        <w:rPr>
          <w:rFonts w:cs="Arial"/>
        </w:rPr>
        <w:t>Stufenverfahren. Es teilt sich in</w:t>
      </w:r>
      <w:r w:rsidR="00E74C70">
        <w:rPr>
          <w:rFonts w:cs="Arial"/>
        </w:rPr>
        <w:t xml:space="preserve">: </w:t>
      </w:r>
    </w:p>
    <w:p w:rsidR="00E74C70" w:rsidRDefault="00E74C70" w:rsidP="001D04C8">
      <w:pPr>
        <w:spacing w:line="360" w:lineRule="auto"/>
        <w:contextualSpacing/>
        <w:rPr>
          <w:rFonts w:cs="Arial"/>
        </w:rPr>
      </w:pPr>
      <w:r>
        <w:rPr>
          <w:rFonts w:cs="Arial"/>
        </w:rPr>
        <w:t>1. A</w:t>
      </w:r>
      <w:r w:rsidR="00C916F0" w:rsidRPr="001D04C8">
        <w:rPr>
          <w:rFonts w:cs="Arial"/>
        </w:rPr>
        <w:t xml:space="preserve">ußergerichtlicher Schuldenbereinigungsplan, </w:t>
      </w:r>
    </w:p>
    <w:p w:rsidR="00E74C70" w:rsidRDefault="00E74C70" w:rsidP="001D04C8">
      <w:pPr>
        <w:spacing w:line="360" w:lineRule="auto"/>
        <w:contextualSpacing/>
        <w:rPr>
          <w:rFonts w:cs="Arial"/>
        </w:rPr>
      </w:pPr>
      <w:r>
        <w:rPr>
          <w:rFonts w:cs="Arial"/>
        </w:rPr>
        <w:t>2.</w:t>
      </w:r>
      <w:r w:rsidR="00C916F0" w:rsidRPr="001D04C8">
        <w:rPr>
          <w:rFonts w:cs="Arial"/>
        </w:rPr>
        <w:t xml:space="preserve"> </w:t>
      </w:r>
      <w:r>
        <w:rPr>
          <w:rFonts w:cs="Arial"/>
        </w:rPr>
        <w:t>G</w:t>
      </w:r>
      <w:r w:rsidR="00C916F0" w:rsidRPr="001D04C8">
        <w:rPr>
          <w:rFonts w:cs="Arial"/>
        </w:rPr>
        <w:t xml:space="preserve">erichtlicher Schuldenbereinigungsplan und </w:t>
      </w:r>
    </w:p>
    <w:p w:rsidR="00C916F0" w:rsidRPr="00C916F0" w:rsidRDefault="00E74C70" w:rsidP="000B4C91">
      <w:pPr>
        <w:spacing w:line="360" w:lineRule="auto"/>
        <w:contextualSpacing/>
        <w:rPr>
          <w:b/>
        </w:rPr>
      </w:pPr>
      <w:r>
        <w:rPr>
          <w:rFonts w:cs="Arial"/>
        </w:rPr>
        <w:t>3.</w:t>
      </w:r>
      <w:r w:rsidR="00C916F0" w:rsidRPr="001D04C8">
        <w:rPr>
          <w:rFonts w:cs="Arial"/>
        </w:rPr>
        <w:t xml:space="preserve"> Eröffnungsverfahren. </w:t>
      </w:r>
    </w:p>
    <w:tbl>
      <w:tblPr>
        <w:tblStyle w:val="Tabellenraster"/>
        <w:tblW w:w="10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5418"/>
      </w:tblGrid>
      <w:tr w:rsidR="00C916F0" w:rsidTr="000B4C91">
        <w:trPr>
          <w:trHeight w:val="1461"/>
          <w:jc w:val="center"/>
        </w:trPr>
        <w:tc>
          <w:tcPr>
            <w:tcW w:w="10835" w:type="dxa"/>
            <w:gridSpan w:val="2"/>
          </w:tcPr>
          <w:tbl>
            <w:tblPr>
              <w:tblStyle w:val="Tabellenraster"/>
              <w:tblpPr w:leftFromText="141" w:rightFromText="141" w:vertAnchor="page" w:horzAnchor="margin" w:tblpY="478"/>
              <w:tblOverlap w:val="never"/>
              <w:tblW w:w="10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5"/>
              <w:gridCol w:w="5313"/>
            </w:tblGrid>
            <w:tr w:rsidR="000B4C91" w:rsidRPr="000B4C91" w:rsidTr="000B4C91">
              <w:trPr>
                <w:trHeight w:val="1124"/>
              </w:trPr>
              <w:tc>
                <w:tcPr>
                  <w:tcW w:w="10508" w:type="dxa"/>
                  <w:gridSpan w:val="2"/>
                </w:tcPr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>Antrag</w:t>
                  </w:r>
                  <w:r w:rsidRPr="000B4C91">
                    <w:rPr>
                      <w:sz w:val="28"/>
                      <w:szCs w:val="28"/>
                    </w:rPr>
                    <w:t xml:space="preserve"> (§ </w:t>
                  </w:r>
                  <w:proofErr w:type="gramStart"/>
                  <w:r w:rsidRPr="000B4C91">
                    <w:rPr>
                      <w:sz w:val="28"/>
                      <w:szCs w:val="28"/>
                    </w:rPr>
                    <w:t>305  InsO</w:t>
                  </w:r>
                  <w:proofErr w:type="gramEnd"/>
                  <w:r w:rsidRPr="000B4C91">
                    <w:rPr>
                      <w:sz w:val="28"/>
                      <w:szCs w:val="28"/>
                    </w:rPr>
                    <w:t>)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AB977D" wp14:editId="5DDF85E7">
                            <wp:simplePos x="0" y="0"/>
                            <wp:positionH relativeFrom="column">
                              <wp:posOffset>3138170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0" cy="381000"/>
                            <wp:effectExtent l="76200" t="0" r="95250" b="57150"/>
                            <wp:wrapNone/>
                            <wp:docPr id="11" name="Gerade Verbindung mit Pfeil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8100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C2C0EF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Gerade Verbindung mit Pfeil 11" o:spid="_x0000_s1026" type="#_x0000_t32" style="position:absolute;margin-left:247.1pt;margin-top:6.6pt;width:0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" strokecolor="black [3040]" strokeweight="1pt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4C91" w:rsidRPr="000B4C91" w:rsidTr="000B4C91">
              <w:trPr>
                <w:trHeight w:val="2768"/>
              </w:trPr>
              <w:tc>
                <w:tcPr>
                  <w:tcW w:w="10508" w:type="dxa"/>
                  <w:gridSpan w:val="2"/>
                </w:tcPr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sz w:val="28"/>
                      <w:szCs w:val="28"/>
                    </w:rPr>
                    <w:t xml:space="preserve">Richtervorlage </w:t>
                  </w:r>
                  <w:r w:rsidRPr="000B4C91">
                    <w:rPr>
                      <w:sz w:val="28"/>
                      <w:szCs w:val="28"/>
                    </w:rPr>
                    <w:sym w:font="Wingdings" w:char="F0E0"/>
                  </w:r>
                  <w:r w:rsidRPr="000B4C91">
                    <w:rPr>
                      <w:sz w:val="28"/>
                      <w:szCs w:val="28"/>
                    </w:rPr>
                    <w:t xml:space="preserve"> Verfügung des Richters: 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>Ruhen des Verfahrens (max. 3 Monate)</w:t>
                  </w:r>
                  <w:r w:rsidRPr="000B4C91">
                    <w:rPr>
                      <w:sz w:val="28"/>
                      <w:szCs w:val="28"/>
                    </w:rPr>
                    <w:t xml:space="preserve"> (§ 306 InsO)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rPr>
                      <w:sz w:val="28"/>
                      <w:szCs w:val="28"/>
                    </w:rPr>
                  </w:pP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 xml:space="preserve">Zustellung an Gläubiger (Notfrist: 1 </w:t>
                  </w:r>
                  <w:proofErr w:type="gramStart"/>
                  <w:r w:rsidRPr="000B4C91">
                    <w:rPr>
                      <w:i/>
                      <w:sz w:val="28"/>
                      <w:szCs w:val="28"/>
                    </w:rPr>
                    <w:t>Monat)</w:t>
                  </w:r>
                  <w:r w:rsidRPr="000B4C91">
                    <w:rPr>
                      <w:sz w:val="28"/>
                      <w:szCs w:val="28"/>
                    </w:rPr>
                    <w:t xml:space="preserve">  (</w:t>
                  </w:r>
                  <w:proofErr w:type="gramEnd"/>
                  <w:r w:rsidRPr="000B4C91">
                    <w:rPr>
                      <w:sz w:val="28"/>
                      <w:szCs w:val="28"/>
                    </w:rPr>
                    <w:t>§ 307 InsO)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320D38B" wp14:editId="7D607986">
                            <wp:simplePos x="0" y="0"/>
                            <wp:positionH relativeFrom="column">
                              <wp:posOffset>3585845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238250" cy="619125"/>
                            <wp:effectExtent l="0" t="0" r="76200" b="47625"/>
                            <wp:wrapNone/>
                            <wp:docPr id="5" name="Gerade Verbindung mit Pfei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38250" cy="61912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B26290" id="Gerade Verbindung mit Pfeil 5" o:spid="_x0000_s1026" type="#_x0000_t32" style="position:absolute;margin-left:282.35pt;margin-top:5.65pt;width:97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" strokecolor="black [3040]" strokeweight="1pt">
                            <v:stroke endarrow="block"/>
                          </v:shape>
                        </w:pict>
                      </mc:Fallback>
                    </mc:AlternateContent>
                  </w:r>
                  <w:r w:rsidRPr="000B4C91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922F772" wp14:editId="4D7BD4A9">
                            <wp:simplePos x="0" y="0"/>
                            <wp:positionH relativeFrom="column">
                              <wp:posOffset>1280795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333500" cy="619125"/>
                            <wp:effectExtent l="38100" t="0" r="19050" b="66675"/>
                            <wp:wrapNone/>
                            <wp:docPr id="4" name="Gerade Verbindung mit Pfei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333500" cy="61912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EE85C7" id="Gerade Verbindung mit Pfeil 4" o:spid="_x0000_s1026" type="#_x0000_t32" style="position:absolute;margin-left:100.85pt;margin-top:5.65pt;width:105pt;height:4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" strokecolor="black [3040]" strokeweight="1pt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4C91" w:rsidRPr="000B4C91" w:rsidTr="000B4C91">
              <w:trPr>
                <w:trHeight w:val="1574"/>
              </w:trPr>
              <w:tc>
                <w:tcPr>
                  <w:tcW w:w="5195" w:type="dxa"/>
                </w:tcPr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 xml:space="preserve">Zustimmen 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>oder Ersetzen der Zustimmung</w:t>
                  </w:r>
                  <w:r w:rsidRPr="000B4C91">
                    <w:rPr>
                      <w:sz w:val="28"/>
                      <w:szCs w:val="28"/>
                    </w:rPr>
                    <w:t xml:space="preserve"> (§ 309 InsO)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29A482A" wp14:editId="13CF34E6">
                            <wp:simplePos x="0" y="0"/>
                            <wp:positionH relativeFrom="column">
                              <wp:posOffset>1356995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0" cy="447675"/>
                            <wp:effectExtent l="76200" t="0" r="57150" b="47625"/>
                            <wp:wrapNone/>
                            <wp:docPr id="8" name="Gerade Verbindung mit Pfeil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1D05892" id="Gerade Verbindung mit Pfeil 8" o:spid="_x0000_s1026" type="#_x0000_t32" style="position:absolute;margin-left:106.85pt;margin-top:6.05pt;width:0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" strokecolor="black [3040]" strokeweight="1pt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13" w:type="dxa"/>
                </w:tcPr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B4C91">
                    <w:rPr>
                      <w:i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F2D1388" wp14:editId="4F52EFD1">
                            <wp:simplePos x="0" y="0"/>
                            <wp:positionH relativeFrom="column">
                              <wp:posOffset>1474470</wp:posOffset>
                            </wp:positionH>
                            <wp:positionV relativeFrom="paragraph">
                              <wp:posOffset>404495</wp:posOffset>
                            </wp:positionV>
                            <wp:extent cx="0" cy="447675"/>
                            <wp:effectExtent l="76200" t="0" r="57150" b="47625"/>
                            <wp:wrapNone/>
                            <wp:docPr id="9" name="Gerade Verbindung mit Pfeil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00DCCF3" id="Gerade Verbindung mit Pfeil 9" o:spid="_x0000_s1026" type="#_x0000_t32" style="position:absolute;margin-left:116.1pt;margin-top:31.85pt;width:0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" strokecolor="black [3040]" strokeweight="1pt">
                            <v:stroke endarrow="block"/>
                          </v:shape>
                        </w:pict>
                      </mc:Fallback>
                    </mc:AlternateContent>
                  </w:r>
                  <w:r w:rsidRPr="000B4C91">
                    <w:rPr>
                      <w:i/>
                      <w:sz w:val="28"/>
                      <w:szCs w:val="28"/>
                    </w:rPr>
                    <w:t xml:space="preserve">keine Zustimmung/Einwände </w:t>
                  </w:r>
                </w:p>
              </w:tc>
            </w:tr>
            <w:tr w:rsidR="000B4C91" w:rsidRPr="000B4C91" w:rsidTr="000B4C91">
              <w:trPr>
                <w:trHeight w:val="1077"/>
              </w:trPr>
              <w:tc>
                <w:tcPr>
                  <w:tcW w:w="5195" w:type="dxa"/>
                </w:tcPr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sz w:val="28"/>
                      <w:szCs w:val="28"/>
                    </w:rPr>
                    <w:t xml:space="preserve">Beschluss über: 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>Annahme des SBP</w:t>
                  </w:r>
                  <w:r w:rsidRPr="000B4C91">
                    <w:rPr>
                      <w:sz w:val="28"/>
                      <w:szCs w:val="28"/>
                    </w:rPr>
                    <w:t xml:space="preserve"> (§ 308 InsO)</w:t>
                  </w:r>
                </w:p>
              </w:tc>
              <w:tc>
                <w:tcPr>
                  <w:tcW w:w="5313" w:type="dxa"/>
                </w:tcPr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0B4C91">
                    <w:rPr>
                      <w:sz w:val="28"/>
                      <w:szCs w:val="28"/>
                    </w:rPr>
                    <w:t>Beschluss über: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 xml:space="preserve">Ablehnung des SBP </w:t>
                  </w:r>
                </w:p>
              </w:tc>
            </w:tr>
            <w:tr w:rsidR="000B4C91" w:rsidRPr="000B4C91" w:rsidTr="000B4C91">
              <w:trPr>
                <w:trHeight w:val="1770"/>
              </w:trPr>
              <w:tc>
                <w:tcPr>
                  <w:tcW w:w="5195" w:type="dxa"/>
                </w:tcPr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>Wirkung: Wirkt wie ein Vergleich, die Anträge auf das IV + RSB gelten als zurückgenommen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5313" w:type="dxa"/>
                </w:tcPr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B4C91">
                    <w:rPr>
                      <w:i/>
                      <w:sz w:val="28"/>
                      <w:szCs w:val="28"/>
                    </w:rPr>
                    <w:t>Wirkung (§ 311 InsO): Verfahren über IV wird von Amts wegen wieder aufgenommen</w:t>
                  </w:r>
                </w:p>
                <w:p w:rsidR="000B4C91" w:rsidRPr="000B4C91" w:rsidRDefault="000B4C91" w:rsidP="000B4C91">
                  <w:pPr>
                    <w:pStyle w:val="Listenabsatz"/>
                    <w:ind w:left="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</w:tc>
      </w:tr>
      <w:tr w:rsidR="00C916F0" w:rsidTr="000B4C91">
        <w:trPr>
          <w:trHeight w:val="3654"/>
          <w:jc w:val="center"/>
        </w:trPr>
        <w:tc>
          <w:tcPr>
            <w:tcW w:w="10835" w:type="dxa"/>
            <w:gridSpan w:val="2"/>
          </w:tcPr>
          <w:p w:rsidR="00C916F0" w:rsidRPr="00C36AD0" w:rsidRDefault="00C916F0" w:rsidP="00C916F0">
            <w:pPr>
              <w:pStyle w:val="Listenabsatz"/>
              <w:ind w:left="0"/>
              <w:jc w:val="center"/>
            </w:pPr>
            <w:bookmarkStart w:id="0" w:name="_GoBack"/>
            <w:bookmarkEnd w:id="0"/>
          </w:p>
        </w:tc>
      </w:tr>
      <w:tr w:rsidR="00C916F0" w:rsidTr="000B4C91">
        <w:trPr>
          <w:trHeight w:val="1817"/>
          <w:jc w:val="center"/>
        </w:trPr>
        <w:tc>
          <w:tcPr>
            <w:tcW w:w="5417" w:type="dxa"/>
          </w:tcPr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</w:tc>
        <w:tc>
          <w:tcPr>
            <w:tcW w:w="5417" w:type="dxa"/>
          </w:tcPr>
          <w:p w:rsidR="00C916F0" w:rsidRDefault="00C916F0" w:rsidP="00C916F0">
            <w:pPr>
              <w:pStyle w:val="Listenabsatz"/>
              <w:ind w:left="0"/>
            </w:pPr>
          </w:p>
        </w:tc>
      </w:tr>
      <w:tr w:rsidR="00C916F0" w:rsidTr="000B4C91">
        <w:trPr>
          <w:trHeight w:val="1106"/>
          <w:jc w:val="center"/>
        </w:trPr>
        <w:tc>
          <w:tcPr>
            <w:tcW w:w="5417" w:type="dxa"/>
          </w:tcPr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</w:tc>
        <w:tc>
          <w:tcPr>
            <w:tcW w:w="5417" w:type="dxa"/>
          </w:tcPr>
          <w:p w:rsidR="00C916F0" w:rsidRDefault="00C916F0" w:rsidP="00C916F0">
            <w:pPr>
              <w:pStyle w:val="Listenabsatz"/>
              <w:ind w:left="0"/>
            </w:pPr>
          </w:p>
        </w:tc>
      </w:tr>
    </w:tbl>
    <w:p w:rsidR="00557F51" w:rsidRPr="00557F51" w:rsidRDefault="00557F51" w:rsidP="00AA26DC">
      <w:pPr>
        <w:spacing w:line="360" w:lineRule="auto"/>
      </w:pPr>
    </w:p>
    <w:sectPr w:rsidR="00557F51" w:rsidRPr="00557F51" w:rsidSect="001D04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4EDF"/>
    <w:multiLevelType w:val="hybridMultilevel"/>
    <w:tmpl w:val="23E0A0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9325B"/>
    <w:multiLevelType w:val="hybridMultilevel"/>
    <w:tmpl w:val="D214E8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1957"/>
    <w:multiLevelType w:val="hybridMultilevel"/>
    <w:tmpl w:val="1ACA19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610F8"/>
    <w:multiLevelType w:val="hybridMultilevel"/>
    <w:tmpl w:val="5B322866"/>
    <w:lvl w:ilvl="0" w:tplc="7B0270B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6013D"/>
    <w:multiLevelType w:val="hybridMultilevel"/>
    <w:tmpl w:val="8D5ED1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85C"/>
    <w:multiLevelType w:val="hybridMultilevel"/>
    <w:tmpl w:val="46D27B06"/>
    <w:lvl w:ilvl="0" w:tplc="D9AE784E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BBE"/>
    <w:multiLevelType w:val="hybridMultilevel"/>
    <w:tmpl w:val="53F6830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CD67E0"/>
    <w:multiLevelType w:val="hybridMultilevel"/>
    <w:tmpl w:val="ABEE48B4"/>
    <w:lvl w:ilvl="0" w:tplc="37840C38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12"/>
    <w:rsid w:val="000B4C91"/>
    <w:rsid w:val="000C3A73"/>
    <w:rsid w:val="001973C7"/>
    <w:rsid w:val="001A5D48"/>
    <w:rsid w:val="001D04C8"/>
    <w:rsid w:val="002D1B09"/>
    <w:rsid w:val="003339E4"/>
    <w:rsid w:val="00392D66"/>
    <w:rsid w:val="004A1112"/>
    <w:rsid w:val="004B08B7"/>
    <w:rsid w:val="00557F51"/>
    <w:rsid w:val="00591AED"/>
    <w:rsid w:val="005A1C86"/>
    <w:rsid w:val="005C4E51"/>
    <w:rsid w:val="0066282D"/>
    <w:rsid w:val="006D6D11"/>
    <w:rsid w:val="00737793"/>
    <w:rsid w:val="00817A90"/>
    <w:rsid w:val="009C0B1A"/>
    <w:rsid w:val="00AA26DC"/>
    <w:rsid w:val="00C916F0"/>
    <w:rsid w:val="00E74C70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2F172-6D14-42B1-80E6-355EA787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111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112"/>
    <w:pPr>
      <w:ind w:left="720"/>
      <w:contextualSpacing/>
    </w:pPr>
  </w:style>
  <w:style w:type="table" w:styleId="Tabellenraster">
    <w:name w:val="Table Grid"/>
    <w:basedOn w:val="NormaleTabelle"/>
    <w:uiPriority w:val="39"/>
    <w:rsid w:val="00C916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4</cp:revision>
  <cp:lastPrinted>2025-05-16T04:37:00Z</cp:lastPrinted>
  <dcterms:created xsi:type="dcterms:W3CDTF">2025-04-22T07:17:00Z</dcterms:created>
  <dcterms:modified xsi:type="dcterms:W3CDTF">2025-05-16T04:38:00Z</dcterms:modified>
</cp:coreProperties>
</file>