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0BC" w:rsidRDefault="00C160BC" w:rsidP="00C160BC">
      <w:pPr>
        <w:pStyle w:val="Default"/>
        <w:rPr>
          <w:b/>
          <w:iCs/>
          <w:color w:val="5B9BD5" w:themeColor="accent1"/>
          <w:sz w:val="23"/>
          <w:szCs w:val="23"/>
        </w:rPr>
      </w:pPr>
      <w:r w:rsidRPr="00EA0B65">
        <w:rPr>
          <w:b/>
          <w:iCs/>
          <w:color w:val="5B9BD5" w:themeColor="accent1"/>
          <w:sz w:val="23"/>
          <w:szCs w:val="23"/>
        </w:rPr>
        <w:t>das Prinzip d</w:t>
      </w:r>
      <w:r>
        <w:rPr>
          <w:b/>
          <w:iCs/>
          <w:color w:val="5B9BD5" w:themeColor="accent1"/>
          <w:sz w:val="23"/>
          <w:szCs w:val="23"/>
        </w:rPr>
        <w:t>er Rangverhältnisse, § 879 BGB</w:t>
      </w:r>
    </w:p>
    <w:p w:rsidR="00C160BC" w:rsidRPr="00EA0B65" w:rsidRDefault="00C160BC" w:rsidP="00C160BC">
      <w:pPr>
        <w:pStyle w:val="Default"/>
        <w:rPr>
          <w:b/>
          <w:color w:val="5B9BD5" w:themeColor="accent1"/>
          <w:sz w:val="23"/>
          <w:szCs w:val="23"/>
        </w:rPr>
      </w:pPr>
    </w:p>
    <w:p w:rsidR="00C160BC" w:rsidRDefault="00C160BC" w:rsidP="00C160BC">
      <w:pPr>
        <w:pStyle w:val="Default"/>
        <w:rPr>
          <w:sz w:val="22"/>
          <w:szCs w:val="22"/>
        </w:rPr>
      </w:pPr>
      <w:r>
        <w:rPr>
          <w:sz w:val="22"/>
          <w:szCs w:val="22"/>
        </w:rPr>
        <w:t>An einem Grundstück können mehrere Rechte verschiedener Art bestehen.</w:t>
      </w:r>
    </w:p>
    <w:p w:rsidR="00C160BC" w:rsidRDefault="00C160BC" w:rsidP="00C160BC">
      <w:pPr>
        <w:pStyle w:val="Default"/>
        <w:rPr>
          <w:sz w:val="22"/>
          <w:szCs w:val="22"/>
        </w:rPr>
      </w:pPr>
    </w:p>
    <w:p w:rsidR="00C160BC" w:rsidRDefault="00C160BC" w:rsidP="00C160BC">
      <w:pPr>
        <w:pStyle w:val="Default"/>
        <w:rPr>
          <w:sz w:val="22"/>
          <w:szCs w:val="22"/>
        </w:rPr>
      </w:pPr>
      <w:r>
        <w:rPr>
          <w:sz w:val="22"/>
          <w:szCs w:val="22"/>
        </w:rPr>
        <w:t xml:space="preserve">Die Rechte stehen untereinander in einem bestimmten Rangverhältnis, §§ 879ff BGB. </w:t>
      </w:r>
    </w:p>
    <w:p w:rsidR="00C160BC" w:rsidRDefault="00C160BC" w:rsidP="00C160BC">
      <w:pPr>
        <w:pStyle w:val="Default"/>
        <w:rPr>
          <w:sz w:val="22"/>
          <w:szCs w:val="22"/>
        </w:rPr>
      </w:pPr>
    </w:p>
    <w:p w:rsidR="00C160BC" w:rsidRPr="003954A5" w:rsidRDefault="00C160BC" w:rsidP="00C160BC">
      <w:pPr>
        <w:pStyle w:val="Default"/>
        <w:rPr>
          <w:sz w:val="22"/>
          <w:szCs w:val="22"/>
        </w:rPr>
      </w:pPr>
      <w:r>
        <w:rPr>
          <w:sz w:val="22"/>
          <w:szCs w:val="22"/>
        </w:rPr>
        <w:t xml:space="preserve">Das </w:t>
      </w:r>
      <w:r w:rsidRPr="00080F8B">
        <w:rPr>
          <w:b/>
          <w:sz w:val="22"/>
          <w:szCs w:val="22"/>
        </w:rPr>
        <w:t>Rangverhältnis regelt die Reihenfolge,</w:t>
      </w:r>
      <w:r>
        <w:rPr>
          <w:sz w:val="22"/>
          <w:szCs w:val="22"/>
        </w:rPr>
        <w:t xml:space="preserve"> in der mehrere an einem Grundstück bestehende </w:t>
      </w:r>
      <w:r w:rsidRPr="003954A5">
        <w:rPr>
          <w:sz w:val="22"/>
          <w:szCs w:val="22"/>
        </w:rPr>
        <w:t xml:space="preserve">Rechte bei der Zwangsversteigerung befriedigt werden. </w:t>
      </w:r>
    </w:p>
    <w:p w:rsidR="00C160BC" w:rsidRPr="00080F8B" w:rsidRDefault="00C160BC" w:rsidP="00C160BC">
      <w:pPr>
        <w:rPr>
          <w:rFonts w:ascii="Arial" w:hAnsi="Arial" w:cs="Arial"/>
          <w:b/>
        </w:rPr>
      </w:pPr>
      <w:r w:rsidRPr="00080F8B">
        <w:rPr>
          <w:rFonts w:ascii="Arial" w:hAnsi="Arial" w:cs="Arial"/>
          <w:b/>
        </w:rPr>
        <w:t>Der Rang eines Rechts hat Bedeutung für dessen Wert und Sicherheit</w:t>
      </w:r>
    </w:p>
    <w:p w:rsidR="00C160BC" w:rsidRDefault="00C160BC" w:rsidP="00C160BC">
      <w:pPr>
        <w:rPr>
          <w:rFonts w:ascii="Arial" w:hAnsi="Arial" w:cs="Arial"/>
        </w:rPr>
      </w:pPr>
      <w:r w:rsidRPr="003954A5">
        <w:rPr>
          <w:rFonts w:ascii="Arial" w:hAnsi="Arial" w:cs="Arial"/>
        </w:rPr>
        <w:t xml:space="preserve">Dieses Rangverhältnis bedeutet zugleich </w:t>
      </w:r>
      <w:r w:rsidRPr="003954A5">
        <w:rPr>
          <w:rFonts w:ascii="Arial" w:hAnsi="Arial" w:cs="Arial"/>
          <w:b/>
          <w:bCs/>
        </w:rPr>
        <w:t xml:space="preserve">Reihenfolge der Befriedigung im Fall einer Zwangsversteigerung </w:t>
      </w:r>
      <w:r w:rsidRPr="003954A5">
        <w:rPr>
          <w:rFonts w:ascii="Arial" w:hAnsi="Arial" w:cs="Arial"/>
        </w:rPr>
        <w:t>des Grundstücks.</w:t>
      </w:r>
    </w:p>
    <w:p w:rsidR="00C160BC" w:rsidRPr="00DD082E" w:rsidRDefault="00C160BC" w:rsidP="00C160BC">
      <w:pPr>
        <w:pStyle w:val="Default"/>
        <w:rPr>
          <w:b/>
          <w:sz w:val="22"/>
          <w:szCs w:val="22"/>
        </w:rPr>
      </w:pPr>
      <w:r w:rsidRPr="00DD082E">
        <w:rPr>
          <w:b/>
          <w:sz w:val="22"/>
          <w:szCs w:val="22"/>
        </w:rPr>
        <w:t xml:space="preserve">Bestimmung des Rangverhältnisses: </w:t>
      </w:r>
    </w:p>
    <w:p w:rsidR="00C160BC" w:rsidRDefault="00C160BC" w:rsidP="00C160BC">
      <w:pPr>
        <w:pStyle w:val="Default"/>
        <w:rPr>
          <w:i/>
          <w:sz w:val="22"/>
          <w:szCs w:val="22"/>
        </w:rPr>
      </w:pPr>
      <w:r>
        <w:rPr>
          <w:sz w:val="22"/>
          <w:szCs w:val="22"/>
        </w:rPr>
        <w:t xml:space="preserve">Das Grundprinzip des BGB besteht darin, dass dem zeitlich früher entstandenen Recht der Vorrang gebührt (§ 879 BGB). Innerhalb der Abt. II oder III des Grundbuchs bestimmt sich gem. § 879 Abs. 1 Satz 1 BGB das Rangverhältnis nach der räumlichen Reihenfolge der Eintragungen (= </w:t>
      </w:r>
      <w:proofErr w:type="spellStart"/>
      <w:r>
        <w:rPr>
          <w:sz w:val="22"/>
          <w:szCs w:val="22"/>
        </w:rPr>
        <w:t>L</w:t>
      </w:r>
      <w:r w:rsidRPr="00DD082E">
        <w:rPr>
          <w:b/>
          <w:i/>
          <w:sz w:val="22"/>
          <w:szCs w:val="22"/>
        </w:rPr>
        <w:t>ocusprinzip</w:t>
      </w:r>
      <w:proofErr w:type="spellEnd"/>
      <w:r>
        <w:rPr>
          <w:sz w:val="22"/>
          <w:szCs w:val="22"/>
        </w:rPr>
        <w:t xml:space="preserve">). Gleichrang können die Rechte innerhalb einer Abteilung daher nur haben, wenn dies aus Rangvermerken ersichtlich ist (§ 45 Abs. 1 2. HS. GBO). </w:t>
      </w:r>
      <w:r w:rsidRPr="00DD082E">
        <w:rPr>
          <w:i/>
          <w:sz w:val="22"/>
          <w:szCs w:val="22"/>
        </w:rPr>
        <w:t>Dieser auch „</w:t>
      </w:r>
      <w:proofErr w:type="spellStart"/>
      <w:r w:rsidRPr="00DD082E">
        <w:rPr>
          <w:i/>
          <w:sz w:val="22"/>
          <w:szCs w:val="22"/>
        </w:rPr>
        <w:t>Locusprinzip</w:t>
      </w:r>
      <w:proofErr w:type="spellEnd"/>
      <w:r w:rsidRPr="00DD082E">
        <w:rPr>
          <w:i/>
          <w:sz w:val="22"/>
          <w:szCs w:val="22"/>
        </w:rPr>
        <w:t xml:space="preserve">“ genannte Grundsatz versagt freilich bei Eintragung in verschiedenen Abteilungen. </w:t>
      </w:r>
    </w:p>
    <w:p w:rsidR="00C160BC" w:rsidRPr="00DD082E" w:rsidRDefault="00C160BC" w:rsidP="00C160BC">
      <w:pPr>
        <w:pStyle w:val="Default"/>
        <w:rPr>
          <w:i/>
          <w:sz w:val="22"/>
          <w:szCs w:val="22"/>
        </w:rPr>
      </w:pPr>
    </w:p>
    <w:p w:rsidR="00C160BC" w:rsidRDefault="00C160BC" w:rsidP="00C160BC">
      <w:pPr>
        <w:pStyle w:val="Default"/>
        <w:rPr>
          <w:sz w:val="22"/>
          <w:szCs w:val="22"/>
        </w:rPr>
      </w:pPr>
      <w:r>
        <w:rPr>
          <w:sz w:val="22"/>
          <w:szCs w:val="22"/>
        </w:rPr>
        <w:t xml:space="preserve">Zwischen Abt. II und III des Grundbuchs bestimmt sich die Rangordnung gem. § 879 Abs. 1 Satz 2 BGB nach dem Eintragungsdatum (= </w:t>
      </w:r>
      <w:proofErr w:type="spellStart"/>
      <w:r w:rsidRPr="00DD082E">
        <w:rPr>
          <w:b/>
          <w:i/>
          <w:sz w:val="22"/>
          <w:szCs w:val="22"/>
        </w:rPr>
        <w:t>Tempusprinzip</w:t>
      </w:r>
      <w:proofErr w:type="spellEnd"/>
      <w:r>
        <w:rPr>
          <w:sz w:val="22"/>
          <w:szCs w:val="22"/>
        </w:rPr>
        <w:t xml:space="preserve">). </w:t>
      </w:r>
      <w:r>
        <w:rPr>
          <w:sz w:val="22"/>
          <w:szCs w:val="22"/>
        </w:rPr>
        <w:br/>
        <w:t xml:space="preserve">Die Rechte haben somit Gleichrang, wenn sie dasselbe Eintragungsdatum haben und Rangvermerke fehlen. </w:t>
      </w:r>
    </w:p>
    <w:p w:rsidR="00C160BC" w:rsidRDefault="00C160BC" w:rsidP="00C160BC">
      <w:pPr>
        <w:pStyle w:val="Default"/>
        <w:rPr>
          <w:sz w:val="22"/>
          <w:szCs w:val="22"/>
        </w:rPr>
      </w:pPr>
      <w:r>
        <w:rPr>
          <w:sz w:val="22"/>
          <w:szCs w:val="22"/>
        </w:rPr>
        <w:t xml:space="preserve">Eine von der Reihen- und Zeitfolge des § 879 Abs. 1 BGB abweichende Bestimmung des Rangverhältnisses bedarf der ausdrücklichen Eintragung im Grundbuch, § 879 Abs. 3 BGB. </w:t>
      </w:r>
    </w:p>
    <w:p w:rsidR="00C160BC" w:rsidRDefault="00C160BC" w:rsidP="00C160BC">
      <w:pPr>
        <w:rPr>
          <w:rFonts w:ascii="Arial" w:hAnsi="Arial" w:cs="Arial"/>
          <w:b/>
          <w:bCs/>
          <w:i/>
          <w:iCs/>
          <w:color w:val="000000"/>
        </w:rPr>
      </w:pPr>
      <w:bookmarkStart w:id="0" w:name="_GoBack"/>
      <w:bookmarkEnd w:id="0"/>
    </w:p>
    <w:p w:rsidR="00C160BC" w:rsidRDefault="00C160BC" w:rsidP="00C160BC">
      <w:pPr>
        <w:pStyle w:val="Default"/>
        <w:rPr>
          <w:sz w:val="22"/>
          <w:szCs w:val="22"/>
        </w:rPr>
      </w:pPr>
      <w:r>
        <w:rPr>
          <w:b/>
          <w:bCs/>
          <w:i/>
          <w:iCs/>
          <w:sz w:val="22"/>
          <w:szCs w:val="22"/>
        </w:rPr>
        <w:t xml:space="preserve">Beispiel: </w:t>
      </w:r>
      <w:r>
        <w:rPr>
          <w:b/>
          <w:bCs/>
          <w:i/>
          <w:iCs/>
          <w:sz w:val="22"/>
          <w:szCs w:val="22"/>
        </w:rPr>
        <w:br/>
      </w:r>
    </w:p>
    <w:p w:rsidR="00C160BC" w:rsidRDefault="00C160BC" w:rsidP="00C160BC">
      <w:pPr>
        <w:pStyle w:val="Default"/>
        <w:spacing w:after="36"/>
        <w:rPr>
          <w:sz w:val="22"/>
          <w:szCs w:val="22"/>
        </w:rPr>
      </w:pPr>
      <w:r>
        <w:rPr>
          <w:i/>
          <w:iCs/>
          <w:sz w:val="22"/>
          <w:szCs w:val="22"/>
        </w:rPr>
        <w:t xml:space="preserve">1. Zwei Rechte in derselben Abteilung sollen bei der Eintragung gleichen Rang haben. Bei Eintragung des Gleichrangvermerks hat die Reihenfolge der Eintragungen in derselben Abteilung keine Bedeutung mehr. </w:t>
      </w:r>
      <w:r>
        <w:rPr>
          <w:i/>
          <w:iCs/>
          <w:sz w:val="22"/>
          <w:szCs w:val="22"/>
        </w:rPr>
        <w:br/>
      </w:r>
    </w:p>
    <w:p w:rsidR="00C160BC" w:rsidRDefault="00C160BC" w:rsidP="00C160BC">
      <w:pPr>
        <w:pStyle w:val="Default"/>
        <w:rPr>
          <w:sz w:val="22"/>
          <w:szCs w:val="22"/>
        </w:rPr>
      </w:pPr>
      <w:r>
        <w:rPr>
          <w:i/>
          <w:iCs/>
          <w:sz w:val="22"/>
          <w:szCs w:val="22"/>
        </w:rPr>
        <w:t xml:space="preserve">2. Zwei Rechte in verschiedenen Abteilungen sollen bei der Eintragung am gleichen Tag Rang nacheinander haben. Bei Eintragung des Vor- bzw. Nachvermerks bewirkt die Eintragung unter Angabe desselben Tages keinen Gleichrang. </w:t>
      </w:r>
    </w:p>
    <w:p w:rsidR="00C160BC" w:rsidRPr="00BB2286" w:rsidRDefault="00C160BC" w:rsidP="00C160BC">
      <w:pPr>
        <w:rPr>
          <w:rFonts w:ascii="Arial" w:hAnsi="Arial" w:cs="Arial"/>
          <w:b/>
        </w:rPr>
      </w:pPr>
    </w:p>
    <w:p w:rsidR="00C160BC" w:rsidRPr="00BB2286" w:rsidRDefault="00C160BC" w:rsidP="00C160BC">
      <w:pPr>
        <w:pStyle w:val="Default"/>
        <w:rPr>
          <w:b/>
          <w:sz w:val="23"/>
          <w:szCs w:val="23"/>
        </w:rPr>
      </w:pPr>
      <w:r w:rsidRPr="00BB2286">
        <w:rPr>
          <w:b/>
          <w:iCs/>
          <w:sz w:val="23"/>
          <w:szCs w:val="23"/>
        </w:rPr>
        <w:t xml:space="preserve">rangfähiger Rechte </w:t>
      </w:r>
    </w:p>
    <w:p w:rsidR="00C160BC" w:rsidRDefault="00C160BC" w:rsidP="00C160BC">
      <w:pPr>
        <w:rPr>
          <w:rFonts w:ascii="Arial" w:hAnsi="Arial" w:cs="Arial"/>
        </w:rPr>
      </w:pPr>
      <w:r w:rsidRPr="00BB2286">
        <w:rPr>
          <w:rFonts w:ascii="Arial" w:hAnsi="Arial" w:cs="Arial"/>
        </w:rPr>
        <w:t>Ein Rangverhältnis können nur rangfähige Rechte zueinander haben. Zu den rangfähigen Rechten gehören die beschränkten dinglichen Rechte, die ein Grundstück belasten (Grunddienstbarkeiten, Vorkaufsrechte, Nießbrauchrechte, beschränkte persönliche Dienstbarkeiten, Reallasten und Grundpfandrechte) und auch Vormerkungen.</w:t>
      </w:r>
    </w:p>
    <w:p w:rsidR="00C160BC" w:rsidRDefault="00C160BC" w:rsidP="00C160BC">
      <w:pPr>
        <w:rPr>
          <w:rFonts w:ascii="Arial" w:hAnsi="Arial" w:cs="Arial"/>
        </w:rPr>
      </w:pPr>
    </w:p>
    <w:p w:rsidR="00C160BC" w:rsidRPr="00800C29" w:rsidRDefault="00C160BC" w:rsidP="00C160BC">
      <w:pPr>
        <w:pStyle w:val="Default"/>
        <w:rPr>
          <w:b/>
          <w:sz w:val="22"/>
          <w:szCs w:val="22"/>
        </w:rPr>
      </w:pPr>
      <w:r w:rsidRPr="00800C29">
        <w:rPr>
          <w:b/>
          <w:sz w:val="22"/>
          <w:szCs w:val="22"/>
        </w:rPr>
        <w:t xml:space="preserve">Rangänderung: </w:t>
      </w:r>
    </w:p>
    <w:p w:rsidR="00C160BC" w:rsidRDefault="00C160BC" w:rsidP="00C160BC">
      <w:pPr>
        <w:pStyle w:val="Default"/>
        <w:rPr>
          <w:sz w:val="22"/>
          <w:szCs w:val="22"/>
        </w:rPr>
      </w:pPr>
      <w:r>
        <w:rPr>
          <w:sz w:val="22"/>
          <w:szCs w:val="22"/>
        </w:rPr>
        <w:t xml:space="preserve">Das zwischen mehreren Rechten bestehende Rangverhältnis kann nachträglich noch geändert werden. Bei solch einer Änderung des Ranges handelt es sich um eine Verfügung über die Rechte und erfordert eine Einigung zwischen den Berechtigten des zurücktretenden und des vortretenden Rechts sowie die Eintragung in das Grundbuch, § 880 Abs. 2 Satz 1 BGB. </w:t>
      </w:r>
    </w:p>
    <w:p w:rsidR="00C160BC" w:rsidRPr="004A2FF4" w:rsidRDefault="00C160BC" w:rsidP="00C160BC">
      <w:pPr>
        <w:pStyle w:val="Default"/>
        <w:rPr>
          <w:sz w:val="22"/>
          <w:szCs w:val="22"/>
        </w:rPr>
      </w:pPr>
      <w:r w:rsidRPr="004A2FF4">
        <w:rPr>
          <w:sz w:val="22"/>
          <w:szCs w:val="22"/>
        </w:rPr>
        <w:t xml:space="preserve">Gleiches gilt auch, wenn ein neu ins Grundbuch einzutragendes Recht Vorrang vor einem bereits eingetragenen Recht erhalten soll. </w:t>
      </w:r>
    </w:p>
    <w:p w:rsidR="00C160BC" w:rsidRPr="004A2FF4" w:rsidRDefault="00C160BC" w:rsidP="00C160BC">
      <w:pPr>
        <w:pStyle w:val="Default"/>
        <w:rPr>
          <w:sz w:val="22"/>
          <w:szCs w:val="22"/>
        </w:rPr>
      </w:pPr>
      <w:r w:rsidRPr="004A2FF4">
        <w:rPr>
          <w:sz w:val="22"/>
          <w:szCs w:val="22"/>
        </w:rPr>
        <w:lastRenderedPageBreak/>
        <w:t xml:space="preserve">Gem. § 880 Abs. 1 Satz 2 BGB muss der Eigentümer zustimmen, wenn eine Hypothek, Grundschuld oder Rentenschuld zurücktritt. </w:t>
      </w:r>
    </w:p>
    <w:p w:rsidR="00C160BC" w:rsidRDefault="00C160BC" w:rsidP="00C160BC">
      <w:pPr>
        <w:rPr>
          <w:rFonts w:ascii="Arial" w:hAnsi="Arial" w:cs="Arial"/>
        </w:rPr>
      </w:pPr>
      <w:r w:rsidRPr="004A2FF4">
        <w:rPr>
          <w:rFonts w:ascii="Arial" w:hAnsi="Arial" w:cs="Arial"/>
        </w:rPr>
        <w:t xml:space="preserve">Sollte das zurücktretende Recht mit dem Recht eines Dritten belastet sein (z.B. mit einem Nießbrauch), bedarf es hier auch dessen Zustimmung, §§ 876, 880 Abs. 3 BGB. </w:t>
      </w:r>
      <w:r>
        <w:rPr>
          <w:rFonts w:ascii="Arial" w:hAnsi="Arial" w:cs="Arial"/>
        </w:rPr>
        <w:br/>
      </w:r>
      <w:r w:rsidRPr="004A2FF4">
        <w:rPr>
          <w:rFonts w:ascii="Arial" w:hAnsi="Arial" w:cs="Arial"/>
        </w:rPr>
        <w:t>Tritt ein Recht im Rang zurück, das dem jeweiligen Eigentümer eines anderen Grundstücks zusteht, müssen, wenn dieses Grundstück mit Rechten Dritter belastet ist, auch diese Berechtigten der Rangänderung zustimmen, es sei denn sie werden dadurch nicht berührt, § 880 Abs. 3, 876 Satz 2 BGB.</w:t>
      </w:r>
    </w:p>
    <w:p w:rsidR="00C160BC" w:rsidRDefault="00C160BC" w:rsidP="00C160BC">
      <w:pPr>
        <w:rPr>
          <w:rFonts w:ascii="Arial" w:hAnsi="Arial" w:cs="Arial"/>
        </w:rPr>
      </w:pPr>
    </w:p>
    <w:p w:rsidR="00C160BC" w:rsidRPr="004A2FF4" w:rsidRDefault="00C160BC" w:rsidP="00C160BC">
      <w:pPr>
        <w:pStyle w:val="Default"/>
        <w:rPr>
          <w:b/>
          <w:sz w:val="22"/>
          <w:szCs w:val="22"/>
        </w:rPr>
      </w:pPr>
      <w:r w:rsidRPr="004A2FF4">
        <w:rPr>
          <w:b/>
          <w:sz w:val="22"/>
          <w:szCs w:val="22"/>
        </w:rPr>
        <w:t xml:space="preserve">Rangvorbehalt: </w:t>
      </w:r>
    </w:p>
    <w:p w:rsidR="00C160BC" w:rsidRPr="004A2FF4" w:rsidRDefault="00C160BC" w:rsidP="00C160BC">
      <w:pPr>
        <w:rPr>
          <w:rFonts w:ascii="Arial" w:hAnsi="Arial" w:cs="Arial"/>
        </w:rPr>
      </w:pPr>
      <w:r w:rsidRPr="004A2FF4">
        <w:rPr>
          <w:rFonts w:ascii="Arial" w:hAnsi="Arial" w:cs="Arial"/>
        </w:rPr>
        <w:t>Mit dem Rangvorbehalt behält sich der Eigentümer bei Begründung eines dinglichen Rechts die Befugnis vor, künftig ein diesem Recht vorgehendes, seinem Umfang nach bestimmtes Recht eintragen zu lassen.</w:t>
      </w:r>
    </w:p>
    <w:p w:rsidR="00770DFA" w:rsidRDefault="00770DFA"/>
    <w:sectPr w:rsidR="00770D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BC"/>
    <w:rsid w:val="00770DFA"/>
    <w:rsid w:val="00C160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8EABA-DD19-4AFC-89F1-93A7F6AE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60B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160B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Simmerl-Hübner, Susanne</dc:creator>
  <cp:keywords/>
  <dc:description/>
  <cp:lastModifiedBy>Simmerl-Hübner, Susanne</cp:lastModifiedBy>
  <cp:revision>1</cp:revision>
  <dcterms:created xsi:type="dcterms:W3CDTF">2024-08-08T06:09:00Z</dcterms:created>
  <dcterms:modified xsi:type="dcterms:W3CDTF">2024-08-08T06:09:00Z</dcterms:modified>
</cp:coreProperties>
</file>