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C1F" w:rsidRPr="00C56C1F" w:rsidRDefault="00C56C1F" w:rsidP="00C56C1F">
      <w:pPr>
        <w:pStyle w:val="Default"/>
        <w:rPr>
          <w:b/>
          <w:color w:val="5B9BD5" w:themeColor="accent1"/>
          <w:sz w:val="32"/>
          <w:szCs w:val="32"/>
          <w:u w:val="single"/>
        </w:rPr>
      </w:pPr>
      <w:r w:rsidRPr="00C56C1F">
        <w:rPr>
          <w:b/>
          <w:color w:val="5B9BD5" w:themeColor="accent1"/>
          <w:sz w:val="32"/>
          <w:szCs w:val="32"/>
          <w:u w:val="single"/>
        </w:rPr>
        <w:t xml:space="preserve">Dingliche Rechte </w:t>
      </w:r>
      <w:r w:rsidRPr="00C56C1F">
        <w:rPr>
          <w:b/>
          <w:color w:val="5B9BD5" w:themeColor="accent1"/>
          <w:sz w:val="32"/>
          <w:szCs w:val="32"/>
          <w:u w:val="single"/>
        </w:rPr>
        <w:br/>
      </w:r>
    </w:p>
    <w:p w:rsidR="00633937" w:rsidRDefault="00C56C1F" w:rsidP="00C56C1F">
      <w:pPr>
        <w:rPr>
          <w:rFonts w:ascii="Arial" w:hAnsi="Arial" w:cs="Arial"/>
          <w:b/>
          <w:iCs/>
          <w:color w:val="5B9BD5" w:themeColor="accent1"/>
          <w:sz w:val="24"/>
          <w:szCs w:val="24"/>
        </w:rPr>
      </w:pPr>
      <w:r w:rsidRPr="00C56C1F">
        <w:rPr>
          <w:rFonts w:ascii="Arial" w:hAnsi="Arial" w:cs="Arial"/>
          <w:b/>
          <w:iCs/>
          <w:color w:val="5B9BD5" w:themeColor="accent1"/>
          <w:sz w:val="24"/>
          <w:szCs w:val="24"/>
        </w:rPr>
        <w:t>Dingliche Rechte der Abteilung II</w:t>
      </w:r>
    </w:p>
    <w:p w:rsidR="00C56C1F" w:rsidRDefault="00C56C1F" w:rsidP="00C56C1F">
      <w:pPr>
        <w:rPr>
          <w:rFonts w:ascii="Arial" w:hAnsi="Arial" w:cs="Arial"/>
          <w:b/>
          <w:iCs/>
          <w:color w:val="5B9BD5" w:themeColor="accent1"/>
          <w:sz w:val="24"/>
          <w:szCs w:val="24"/>
        </w:rPr>
      </w:pPr>
    </w:p>
    <w:p w:rsidR="00C56C1F" w:rsidRDefault="00C56C1F" w:rsidP="00C56C1F">
      <w:pPr>
        <w:pStyle w:val="Default"/>
        <w:rPr>
          <w:sz w:val="22"/>
          <w:szCs w:val="22"/>
        </w:rPr>
      </w:pPr>
      <w:r>
        <w:rPr>
          <w:sz w:val="22"/>
          <w:szCs w:val="22"/>
        </w:rPr>
        <w:t xml:space="preserve">Ein „Dingliches Recht“ gehört zu den </w:t>
      </w:r>
      <w:r>
        <w:rPr>
          <w:b/>
          <w:bCs/>
          <w:sz w:val="22"/>
          <w:szCs w:val="22"/>
        </w:rPr>
        <w:t>absoluten Rechten</w:t>
      </w:r>
      <w:r>
        <w:rPr>
          <w:sz w:val="22"/>
          <w:szCs w:val="22"/>
        </w:rPr>
        <w:t xml:space="preserve">, das heißt, diese Rechte wirken gegenüber jedermann und sind daher auch von jedermann zu respektieren. </w:t>
      </w:r>
    </w:p>
    <w:p w:rsidR="00C56C1F" w:rsidRDefault="00C56C1F" w:rsidP="00C56C1F">
      <w:pPr>
        <w:pStyle w:val="Default"/>
        <w:rPr>
          <w:sz w:val="22"/>
          <w:szCs w:val="22"/>
        </w:rPr>
      </w:pPr>
      <w:r>
        <w:rPr>
          <w:sz w:val="22"/>
          <w:szCs w:val="22"/>
        </w:rPr>
        <w:t xml:space="preserve">Im Gegensatz zu relativen Rechten (z.B. Nießbrauch, Wohnrecht) wirken die absoluten Rechte gegen alle und nicht nur zwischen den beteiligten Personen. </w:t>
      </w:r>
    </w:p>
    <w:p w:rsidR="00C56C1F" w:rsidRDefault="00C56C1F" w:rsidP="00C56C1F">
      <w:pPr>
        <w:pStyle w:val="Default"/>
        <w:rPr>
          <w:sz w:val="22"/>
          <w:szCs w:val="22"/>
        </w:rPr>
      </w:pPr>
      <w:r>
        <w:rPr>
          <w:sz w:val="22"/>
          <w:szCs w:val="22"/>
        </w:rPr>
        <w:t xml:space="preserve">Absolute Rechte werden in </w:t>
      </w:r>
      <w:r>
        <w:rPr>
          <w:b/>
          <w:bCs/>
          <w:sz w:val="22"/>
          <w:szCs w:val="22"/>
        </w:rPr>
        <w:t>Persönlichkeitsrechte, Immaterialgüterrechte</w:t>
      </w:r>
      <w:r>
        <w:rPr>
          <w:sz w:val="22"/>
          <w:szCs w:val="22"/>
        </w:rPr>
        <w:t xml:space="preserve">, dem Recht am angelegten und betriebenen Gewerbegebiet und eben in </w:t>
      </w:r>
      <w:r>
        <w:rPr>
          <w:b/>
          <w:bCs/>
          <w:sz w:val="22"/>
          <w:szCs w:val="22"/>
        </w:rPr>
        <w:t xml:space="preserve">dingliche Sachenrechte </w:t>
      </w:r>
      <w:r>
        <w:rPr>
          <w:sz w:val="22"/>
          <w:szCs w:val="22"/>
        </w:rPr>
        <w:t xml:space="preserve">(Dingliches Recht) unterteilt. </w:t>
      </w:r>
      <w:r>
        <w:rPr>
          <w:sz w:val="22"/>
          <w:szCs w:val="22"/>
        </w:rPr>
        <w:br/>
      </w:r>
    </w:p>
    <w:p w:rsidR="00C56C1F" w:rsidRDefault="00C56C1F" w:rsidP="00C56C1F">
      <w:pPr>
        <w:pStyle w:val="Default"/>
        <w:rPr>
          <w:sz w:val="22"/>
          <w:szCs w:val="22"/>
        </w:rPr>
      </w:pPr>
      <w:r w:rsidRPr="00C56C1F">
        <w:rPr>
          <w:sz w:val="22"/>
          <w:szCs w:val="22"/>
          <w:u w:val="single"/>
        </w:rPr>
        <w:t>Am bedeutsamsten im Zusammenhang mit dinglichen Rechten ist die rechtliche Zuordnung von Sachen zu Personen (siehe auch § 90 BGB).</w:t>
      </w:r>
      <w:r>
        <w:rPr>
          <w:sz w:val="22"/>
          <w:szCs w:val="22"/>
        </w:rPr>
        <w:br/>
        <w:t xml:space="preserve">Subjektiv-dingliche Rechte, bei denen Rechte dem Besitzer einer Immobilie oder eines Grundstückes zustehen, stellen eine Untermenge des Dinglichen Rechts dar. </w:t>
      </w:r>
      <w:r>
        <w:rPr>
          <w:sz w:val="22"/>
          <w:szCs w:val="22"/>
        </w:rPr>
        <w:br/>
      </w:r>
      <w:r>
        <w:rPr>
          <w:sz w:val="22"/>
          <w:szCs w:val="22"/>
        </w:rPr>
        <w:br/>
        <w:t xml:space="preserve">Ein Beispiel hierfür sind </w:t>
      </w:r>
      <w:r w:rsidRPr="00C56C1F">
        <w:rPr>
          <w:b/>
          <w:sz w:val="22"/>
          <w:szCs w:val="22"/>
        </w:rPr>
        <w:t>Grunddienstbarkeiten</w:t>
      </w:r>
      <w:r>
        <w:rPr>
          <w:sz w:val="22"/>
          <w:szCs w:val="22"/>
        </w:rPr>
        <w:t xml:space="preserve">. Ein weiteres dingliches Recht stellt das </w:t>
      </w:r>
      <w:r>
        <w:rPr>
          <w:b/>
          <w:bCs/>
          <w:sz w:val="22"/>
          <w:szCs w:val="22"/>
        </w:rPr>
        <w:t xml:space="preserve">Urheberrecht </w:t>
      </w:r>
      <w:r>
        <w:rPr>
          <w:sz w:val="22"/>
          <w:szCs w:val="22"/>
        </w:rPr>
        <w:t xml:space="preserve">des Werkschöpfers dar. </w:t>
      </w:r>
      <w:r>
        <w:rPr>
          <w:sz w:val="22"/>
          <w:szCs w:val="22"/>
        </w:rPr>
        <w:br/>
      </w:r>
      <w:r w:rsidRPr="00C56C1F">
        <w:rPr>
          <w:b/>
          <w:sz w:val="22"/>
          <w:szCs w:val="22"/>
        </w:rPr>
        <w:t>Ein dingliches Recht bezieht sich also auf Sachen und Grundstücke.</w:t>
      </w:r>
      <w:r>
        <w:rPr>
          <w:sz w:val="22"/>
          <w:szCs w:val="22"/>
        </w:rPr>
        <w:t xml:space="preserve"> Aus unverjährbaren dinglichen Rechten können dingliche Ansprüche entstehen. Gesetzlich gelten als dingliche Rechte unter anderem das Eigentum, Hypotheken und Pfandrechte. Die Grund- und Rentenschuld gehört ebenfalls zu den dinglichen Rechten. </w:t>
      </w:r>
      <w:r>
        <w:rPr>
          <w:sz w:val="22"/>
          <w:szCs w:val="22"/>
        </w:rPr>
        <w:br/>
      </w:r>
    </w:p>
    <w:p w:rsidR="00C56C1F" w:rsidRDefault="00C56C1F" w:rsidP="00C56C1F">
      <w:pPr>
        <w:rPr>
          <w:rFonts w:ascii="Arial" w:hAnsi="Arial" w:cs="Arial"/>
          <w:b/>
          <w:bCs/>
        </w:rPr>
      </w:pPr>
      <w:r w:rsidRPr="00C56C1F">
        <w:rPr>
          <w:rFonts w:ascii="Arial" w:hAnsi="Arial" w:cs="Arial"/>
          <w:b/>
          <w:bCs/>
        </w:rPr>
        <w:t>Ein Eigentümer kann das Dingliche Recht auf Dritte übertragen</w:t>
      </w:r>
    </w:p>
    <w:p w:rsidR="00C56C1F" w:rsidRDefault="00C56C1F" w:rsidP="00C56C1F">
      <w:pPr>
        <w:pStyle w:val="Default"/>
        <w:rPr>
          <w:sz w:val="22"/>
          <w:szCs w:val="22"/>
        </w:rPr>
      </w:pPr>
      <w:r>
        <w:rPr>
          <w:sz w:val="22"/>
          <w:szCs w:val="22"/>
        </w:rPr>
        <w:t xml:space="preserve">Der Eigentümer eines dinglichen Rechts kann in der Regel unbeschränkt über dieses Recht verfügen, es demnach auch auf andere übertragen. </w:t>
      </w:r>
      <w:r>
        <w:rPr>
          <w:sz w:val="22"/>
          <w:szCs w:val="22"/>
        </w:rPr>
        <w:br/>
      </w:r>
      <w:r>
        <w:rPr>
          <w:sz w:val="22"/>
          <w:szCs w:val="22"/>
        </w:rPr>
        <w:br/>
        <w:t xml:space="preserve">Allerding gibt es auch Ausnahmen, so kann zum Beispiel ein </w:t>
      </w:r>
      <w:r>
        <w:rPr>
          <w:b/>
          <w:bCs/>
          <w:sz w:val="22"/>
          <w:szCs w:val="22"/>
        </w:rPr>
        <w:t xml:space="preserve">Nießbrauch </w:t>
      </w:r>
      <w:r>
        <w:rPr>
          <w:sz w:val="22"/>
          <w:szCs w:val="22"/>
        </w:rPr>
        <w:t xml:space="preserve">(das Nießbrauchrecht ist nach dem Eigentum das größte Recht = fast gleichgestellt mit Eigentümer) nicht übertragen werden. Man spricht in diesem Fall von einem beschränkt dinglichen Recht. Für ein dingliches Recht besteht der Publizitätsgrundsatz, nach welchem zum Beispiel die Eintragung des Eigentümers an einem Grundstück im Grundbuch eingetragen werden muss. </w:t>
      </w:r>
      <w:r>
        <w:rPr>
          <w:sz w:val="22"/>
          <w:szCs w:val="22"/>
        </w:rPr>
        <w:br/>
      </w:r>
    </w:p>
    <w:p w:rsidR="00C56C1F" w:rsidRPr="00C56C1F" w:rsidRDefault="00C56C1F" w:rsidP="00C56C1F">
      <w:pPr>
        <w:pStyle w:val="Default"/>
        <w:rPr>
          <w:sz w:val="22"/>
          <w:szCs w:val="22"/>
        </w:rPr>
      </w:pPr>
      <w:r w:rsidRPr="00C56C1F">
        <w:rPr>
          <w:sz w:val="22"/>
          <w:szCs w:val="22"/>
        </w:rPr>
        <w:t xml:space="preserve">Ein </w:t>
      </w:r>
      <w:r w:rsidRPr="00C56C1F">
        <w:rPr>
          <w:b/>
          <w:bCs/>
          <w:sz w:val="22"/>
          <w:szCs w:val="22"/>
        </w:rPr>
        <w:t xml:space="preserve">Wegerecht </w:t>
      </w:r>
      <w:r w:rsidRPr="00C56C1F">
        <w:rPr>
          <w:sz w:val="22"/>
          <w:szCs w:val="22"/>
        </w:rPr>
        <w:t xml:space="preserve">kann auch ohne die Eintragung im Grundbuch begründet werden, wenn die Vertragsparteien hierzu einen einfachen Vertrag abschließen. Dies entschied z.B. das Oberlandesgericht Nürnberg [OLG Nürnberg, 07.09.2010, 1 U 258/10]. </w:t>
      </w:r>
      <w:r w:rsidRPr="00C56C1F">
        <w:rPr>
          <w:sz w:val="22"/>
          <w:szCs w:val="22"/>
        </w:rPr>
        <w:br/>
        <w:t xml:space="preserve">Auch nach vielen Jahren kann eine einmal einvernehmliche festgeschriebene Lösung bezüglich einer Wegenutzung in Form eines Briefes oder Vertrages nicht einfach einseitig aufgelöst werden. </w:t>
      </w:r>
    </w:p>
    <w:p w:rsidR="00C56C1F" w:rsidRDefault="00C56C1F" w:rsidP="00C56C1F">
      <w:pPr>
        <w:rPr>
          <w:rFonts w:ascii="Arial" w:hAnsi="Arial" w:cs="Arial"/>
        </w:rPr>
      </w:pPr>
      <w:r w:rsidRPr="00C56C1F">
        <w:rPr>
          <w:rFonts w:ascii="Arial" w:hAnsi="Arial" w:cs="Arial"/>
        </w:rPr>
        <w:t>Schuldrechtliche Vereinbarungen gelten nur zwischen bestimmten Personen und werden gegenstandslos, sobald ein Grundstückseigentümer wechselt.</w:t>
      </w:r>
      <w:r>
        <w:rPr>
          <w:rFonts w:ascii="Arial" w:hAnsi="Arial" w:cs="Arial"/>
        </w:rPr>
        <w:br/>
      </w:r>
      <w:r w:rsidRPr="00C56C1F">
        <w:rPr>
          <w:rFonts w:ascii="Arial" w:hAnsi="Arial" w:cs="Arial"/>
        </w:rPr>
        <w:t>Handelt es sich bei dem Wegerecht um eine Grunddienstbarkeit, dann greift wieder das dingliche Recht, lastet also das Recht auf dem Grundstück, so dass auch spätere Erwerber die Inanspruchnahme des Wegerechts dulden müssen.</w:t>
      </w:r>
    </w:p>
    <w:p w:rsidR="00C56C1F" w:rsidRDefault="00C56C1F" w:rsidP="00C56C1F">
      <w:pPr>
        <w:rPr>
          <w:rFonts w:ascii="Arial" w:hAnsi="Arial" w:cs="Arial"/>
        </w:rPr>
      </w:pPr>
    </w:p>
    <w:p w:rsidR="00C56C1F" w:rsidRDefault="00C56C1F" w:rsidP="00C56C1F">
      <w:pPr>
        <w:pStyle w:val="Default"/>
        <w:rPr>
          <w:color w:val="auto"/>
          <w:sz w:val="22"/>
          <w:szCs w:val="22"/>
        </w:rPr>
      </w:pPr>
      <w:r>
        <w:rPr>
          <w:color w:val="auto"/>
          <w:sz w:val="22"/>
          <w:szCs w:val="22"/>
        </w:rPr>
        <w:t>Von einem dinglichen Recht spricht man bei einem Recht an einer Sache. Dingliche Rechte sind absolute Rechte, d.h. sie wirken gegen jedermann. Es gibt dingliche Rechte an bewegl</w:t>
      </w:r>
      <w:r w:rsidR="00C03EE3">
        <w:rPr>
          <w:color w:val="auto"/>
          <w:sz w:val="22"/>
          <w:szCs w:val="22"/>
        </w:rPr>
        <w:t xml:space="preserve">ichen und unbeweglichen Sachen </w:t>
      </w:r>
      <w:r>
        <w:rPr>
          <w:color w:val="auto"/>
          <w:sz w:val="22"/>
          <w:szCs w:val="22"/>
        </w:rPr>
        <w:t xml:space="preserve">z.B. Grundstücken. </w:t>
      </w:r>
      <w:r w:rsidR="00C03EE3">
        <w:rPr>
          <w:color w:val="auto"/>
          <w:sz w:val="22"/>
          <w:szCs w:val="22"/>
        </w:rPr>
        <w:br/>
      </w:r>
      <w:r w:rsidR="00C03EE3">
        <w:rPr>
          <w:color w:val="auto"/>
          <w:sz w:val="22"/>
          <w:szCs w:val="22"/>
        </w:rPr>
        <w:br/>
      </w:r>
      <w:r w:rsidR="00C03EE3">
        <w:rPr>
          <w:color w:val="auto"/>
          <w:sz w:val="22"/>
          <w:szCs w:val="22"/>
        </w:rPr>
        <w:lastRenderedPageBreak/>
        <w:br/>
      </w:r>
      <w:r w:rsidRPr="00C03EE3">
        <w:rPr>
          <w:b/>
          <w:color w:val="auto"/>
          <w:sz w:val="22"/>
          <w:szCs w:val="22"/>
        </w:rPr>
        <w:t>Die dinglichen Rechte an Grundstücken kann man aufteilen in</w:t>
      </w:r>
      <w:r w:rsidR="00C03EE3">
        <w:rPr>
          <w:color w:val="auto"/>
          <w:sz w:val="22"/>
          <w:szCs w:val="22"/>
        </w:rPr>
        <w:t>:</w:t>
      </w:r>
      <w:r w:rsidR="00C03EE3">
        <w:rPr>
          <w:color w:val="auto"/>
          <w:sz w:val="22"/>
          <w:szCs w:val="22"/>
        </w:rPr>
        <w:br/>
      </w:r>
    </w:p>
    <w:p w:rsidR="00C56C1F" w:rsidRDefault="00C56C1F" w:rsidP="00C56C1F">
      <w:pPr>
        <w:pStyle w:val="Default"/>
        <w:spacing w:after="36"/>
        <w:rPr>
          <w:color w:val="auto"/>
          <w:sz w:val="22"/>
          <w:szCs w:val="22"/>
        </w:rPr>
      </w:pPr>
      <w:r>
        <w:rPr>
          <w:color w:val="auto"/>
          <w:sz w:val="22"/>
          <w:szCs w:val="22"/>
        </w:rPr>
        <w:t xml:space="preserve">- Subjektiv dingliche Rechte (Grunddienstbarkeit) </w:t>
      </w:r>
    </w:p>
    <w:p w:rsidR="00C56C1F" w:rsidRDefault="00C56C1F" w:rsidP="00C56C1F">
      <w:pPr>
        <w:pStyle w:val="Default"/>
        <w:rPr>
          <w:color w:val="auto"/>
          <w:sz w:val="22"/>
          <w:szCs w:val="22"/>
        </w:rPr>
      </w:pPr>
      <w:r>
        <w:rPr>
          <w:color w:val="auto"/>
          <w:sz w:val="22"/>
          <w:szCs w:val="22"/>
        </w:rPr>
        <w:t xml:space="preserve">- Subjektiv persönliche Rechte (Nießbrauch) (beschränkt persönlich) </w:t>
      </w:r>
    </w:p>
    <w:p w:rsidR="00C56C1F" w:rsidRDefault="00C56C1F" w:rsidP="00C56C1F">
      <w:pPr>
        <w:pStyle w:val="Default"/>
        <w:rPr>
          <w:color w:val="auto"/>
          <w:sz w:val="22"/>
          <w:szCs w:val="22"/>
        </w:rPr>
      </w:pPr>
    </w:p>
    <w:p w:rsidR="00C56C1F" w:rsidRDefault="00C56C1F" w:rsidP="00C56C1F">
      <w:pPr>
        <w:pStyle w:val="Default"/>
        <w:rPr>
          <w:color w:val="auto"/>
          <w:sz w:val="22"/>
          <w:szCs w:val="22"/>
        </w:rPr>
      </w:pPr>
      <w:r w:rsidRPr="00C03EE3">
        <w:rPr>
          <w:b/>
          <w:color w:val="auto"/>
          <w:sz w:val="22"/>
          <w:szCs w:val="22"/>
        </w:rPr>
        <w:t xml:space="preserve">Im BGB sind die dinglichen Rechte abschließend geregelt. </w:t>
      </w:r>
      <w:r w:rsidR="00C03EE3" w:rsidRPr="00C03EE3">
        <w:rPr>
          <w:b/>
          <w:color w:val="auto"/>
          <w:sz w:val="22"/>
          <w:szCs w:val="22"/>
        </w:rPr>
        <w:br/>
      </w:r>
      <w:r w:rsidR="00C03EE3">
        <w:rPr>
          <w:color w:val="auto"/>
          <w:sz w:val="22"/>
          <w:szCs w:val="22"/>
        </w:rPr>
        <w:br/>
      </w:r>
      <w:r w:rsidR="00C03EE3" w:rsidRPr="00C03EE3">
        <w:rPr>
          <w:b/>
          <w:color w:val="auto"/>
          <w:sz w:val="22"/>
          <w:szCs w:val="22"/>
        </w:rPr>
        <w:t>Es besteht ein:</w:t>
      </w:r>
      <w:r w:rsidR="00C03EE3">
        <w:rPr>
          <w:color w:val="auto"/>
          <w:sz w:val="22"/>
          <w:szCs w:val="22"/>
        </w:rPr>
        <w:br/>
      </w:r>
    </w:p>
    <w:p w:rsidR="00C56C1F" w:rsidRDefault="00C56C1F" w:rsidP="00C56C1F">
      <w:pPr>
        <w:pStyle w:val="Default"/>
        <w:spacing w:after="36"/>
        <w:rPr>
          <w:color w:val="auto"/>
          <w:sz w:val="22"/>
          <w:szCs w:val="22"/>
        </w:rPr>
      </w:pPr>
      <w:r w:rsidRPr="00C03EE3">
        <w:rPr>
          <w:b/>
          <w:color w:val="auto"/>
          <w:sz w:val="22"/>
          <w:szCs w:val="22"/>
        </w:rPr>
        <w:t>- Typenzwang</w:t>
      </w:r>
      <w:r>
        <w:rPr>
          <w:color w:val="auto"/>
          <w:sz w:val="22"/>
          <w:szCs w:val="22"/>
        </w:rPr>
        <w:t xml:space="preserve"> </w:t>
      </w:r>
      <w:r w:rsidR="00C03EE3">
        <w:rPr>
          <w:color w:val="auto"/>
          <w:sz w:val="22"/>
          <w:szCs w:val="22"/>
        </w:rPr>
        <w:br/>
      </w:r>
      <w:r>
        <w:rPr>
          <w:color w:val="auto"/>
          <w:sz w:val="22"/>
          <w:szCs w:val="22"/>
        </w:rPr>
        <w:t xml:space="preserve">(nur die im BGB aufgeführten Rechte können auch im Grundbuch eingetragen werden, somit z.B. kein Miet- oder Pachtrecht) </w:t>
      </w:r>
    </w:p>
    <w:p w:rsidR="00C56C1F" w:rsidRDefault="00C56C1F" w:rsidP="00C56C1F">
      <w:pPr>
        <w:pStyle w:val="Default"/>
        <w:rPr>
          <w:color w:val="auto"/>
          <w:sz w:val="22"/>
          <w:szCs w:val="22"/>
        </w:rPr>
      </w:pPr>
      <w:r w:rsidRPr="00C03EE3">
        <w:rPr>
          <w:b/>
          <w:color w:val="auto"/>
          <w:sz w:val="22"/>
          <w:szCs w:val="22"/>
        </w:rPr>
        <w:t>- Typenfixierung</w:t>
      </w:r>
      <w:r w:rsidR="00C03EE3">
        <w:rPr>
          <w:b/>
          <w:color w:val="auto"/>
          <w:sz w:val="22"/>
          <w:szCs w:val="22"/>
        </w:rPr>
        <w:br/>
      </w:r>
      <w:r>
        <w:rPr>
          <w:color w:val="auto"/>
          <w:sz w:val="22"/>
          <w:szCs w:val="22"/>
        </w:rPr>
        <w:t xml:space="preserve"> (auch der Inhalt des Rechts wird genau vorgeschrieben) </w:t>
      </w:r>
    </w:p>
    <w:p w:rsidR="00C56C1F" w:rsidRDefault="00C56C1F" w:rsidP="00C56C1F">
      <w:pPr>
        <w:pStyle w:val="Default"/>
        <w:rPr>
          <w:color w:val="auto"/>
          <w:sz w:val="22"/>
          <w:szCs w:val="22"/>
        </w:rPr>
      </w:pPr>
    </w:p>
    <w:p w:rsidR="00C56C1F" w:rsidRDefault="00C56C1F" w:rsidP="00C56C1F">
      <w:pPr>
        <w:pStyle w:val="Default"/>
        <w:rPr>
          <w:color w:val="auto"/>
          <w:sz w:val="22"/>
          <w:szCs w:val="22"/>
        </w:rPr>
      </w:pPr>
      <w:r>
        <w:rPr>
          <w:color w:val="auto"/>
          <w:sz w:val="22"/>
          <w:szCs w:val="22"/>
        </w:rPr>
        <w:t xml:space="preserve">Bei dem dinglichen Recht kann es sich um ein Vollrecht (z.B. Eigentumsrecht) oder um ein dinglich beschränktes Recht handeln (Wegerecht). </w:t>
      </w:r>
      <w:r w:rsidR="00C03EE3">
        <w:rPr>
          <w:color w:val="auto"/>
          <w:sz w:val="22"/>
          <w:szCs w:val="22"/>
        </w:rPr>
        <w:br/>
      </w:r>
    </w:p>
    <w:p w:rsidR="00C56C1F" w:rsidRPr="00C03EE3" w:rsidRDefault="00C56C1F" w:rsidP="00C56C1F">
      <w:pPr>
        <w:pStyle w:val="Default"/>
        <w:rPr>
          <w:color w:val="FF0000"/>
          <w:sz w:val="22"/>
          <w:szCs w:val="22"/>
        </w:rPr>
      </w:pPr>
      <w:r w:rsidRPr="00C03EE3">
        <w:rPr>
          <w:i/>
          <w:iCs/>
          <w:color w:val="FF0000"/>
          <w:sz w:val="22"/>
          <w:szCs w:val="22"/>
        </w:rPr>
        <w:t>Typenzwang:</w:t>
      </w:r>
      <w:r w:rsidRPr="00C03EE3">
        <w:rPr>
          <w:b/>
          <w:i/>
          <w:iCs/>
          <w:color w:val="FF0000"/>
          <w:sz w:val="22"/>
          <w:szCs w:val="22"/>
        </w:rPr>
        <w:t xml:space="preserve"> </w:t>
      </w:r>
      <w:r w:rsidRPr="00C03EE3">
        <w:rPr>
          <w:b/>
          <w:color w:val="FF0000"/>
          <w:sz w:val="22"/>
          <w:szCs w:val="22"/>
        </w:rPr>
        <w:t xml:space="preserve">(„Numerus clausus der dinglichen Rechte) </w:t>
      </w:r>
    </w:p>
    <w:p w:rsidR="00C56C1F" w:rsidRPr="00C03EE3" w:rsidRDefault="00C56C1F" w:rsidP="00C56C1F">
      <w:pPr>
        <w:pStyle w:val="Default"/>
        <w:rPr>
          <w:color w:val="FF0000"/>
          <w:sz w:val="22"/>
          <w:szCs w:val="22"/>
        </w:rPr>
      </w:pPr>
      <w:r w:rsidRPr="00C03EE3">
        <w:rPr>
          <w:color w:val="FF0000"/>
          <w:sz w:val="22"/>
          <w:szCs w:val="22"/>
        </w:rPr>
        <w:t xml:space="preserve">= andere als die im Gesetz aufgeführten dinglichen Rechte können nicht begründet </w:t>
      </w:r>
    </w:p>
    <w:p w:rsidR="00C56C1F" w:rsidRDefault="00C56C1F" w:rsidP="00C56C1F">
      <w:pPr>
        <w:rPr>
          <w:rFonts w:ascii="Arial" w:hAnsi="Arial" w:cs="Arial"/>
        </w:rPr>
      </w:pPr>
      <w:r w:rsidRPr="00C03EE3">
        <w:rPr>
          <w:rFonts w:ascii="Arial" w:hAnsi="Arial" w:cs="Arial"/>
          <w:color w:val="FF0000"/>
        </w:rPr>
        <w:t>werden.</w:t>
      </w:r>
    </w:p>
    <w:p w:rsidR="00C03EE3" w:rsidRDefault="00C03EE3" w:rsidP="00C56C1F">
      <w:pPr>
        <w:rPr>
          <w:rFonts w:ascii="Arial" w:hAnsi="Arial" w:cs="Arial"/>
        </w:rPr>
      </w:pPr>
    </w:p>
    <w:p w:rsidR="00C03EE3" w:rsidRPr="00C03EE3" w:rsidRDefault="00C03EE3" w:rsidP="00C03EE3">
      <w:pPr>
        <w:pStyle w:val="Default"/>
        <w:rPr>
          <w:b/>
          <w:sz w:val="22"/>
          <w:szCs w:val="22"/>
          <w:u w:val="single"/>
        </w:rPr>
      </w:pPr>
      <w:r w:rsidRPr="00C03EE3">
        <w:rPr>
          <w:b/>
          <w:sz w:val="22"/>
          <w:szCs w:val="22"/>
          <w:u w:val="single"/>
        </w:rPr>
        <w:t xml:space="preserve">Das BGB – mit Nebengesetzen – stellt folgende Rechtstypen zur Verfügung: </w:t>
      </w:r>
      <w:r w:rsidRPr="00C03EE3">
        <w:rPr>
          <w:b/>
          <w:sz w:val="22"/>
          <w:szCs w:val="22"/>
          <w:u w:val="single"/>
        </w:rPr>
        <w:br/>
      </w:r>
    </w:p>
    <w:p w:rsidR="00C03EE3" w:rsidRPr="00C03EE3" w:rsidRDefault="00C03EE3" w:rsidP="00C03EE3">
      <w:pPr>
        <w:pStyle w:val="Default"/>
        <w:rPr>
          <w:b/>
          <w:sz w:val="22"/>
          <w:szCs w:val="22"/>
          <w:u w:val="single"/>
        </w:rPr>
      </w:pPr>
      <w:r>
        <w:rPr>
          <w:b/>
          <w:sz w:val="22"/>
          <w:szCs w:val="22"/>
          <w:u w:val="single"/>
        </w:rPr>
        <w:t>Abt. II:</w:t>
      </w:r>
      <w:r>
        <w:rPr>
          <w:b/>
          <w:sz w:val="22"/>
          <w:szCs w:val="22"/>
          <w:u w:val="single"/>
        </w:rPr>
        <w:br/>
      </w:r>
    </w:p>
    <w:p w:rsidR="00C03EE3" w:rsidRDefault="00C03EE3" w:rsidP="00C03EE3">
      <w:pPr>
        <w:pStyle w:val="Default"/>
        <w:spacing w:after="34"/>
        <w:rPr>
          <w:sz w:val="22"/>
          <w:szCs w:val="22"/>
        </w:rPr>
      </w:pPr>
      <w:r>
        <w:rPr>
          <w:sz w:val="22"/>
          <w:szCs w:val="22"/>
        </w:rPr>
        <w:t xml:space="preserve">- Eigentum §§ 903 ff. </w:t>
      </w:r>
    </w:p>
    <w:p w:rsidR="00C03EE3" w:rsidRDefault="00C03EE3" w:rsidP="00C03EE3">
      <w:pPr>
        <w:pStyle w:val="Default"/>
        <w:spacing w:after="34"/>
        <w:rPr>
          <w:sz w:val="22"/>
          <w:szCs w:val="22"/>
        </w:rPr>
      </w:pPr>
      <w:r>
        <w:rPr>
          <w:sz w:val="22"/>
          <w:szCs w:val="22"/>
        </w:rPr>
        <w:t xml:space="preserve">- Erbbaurecht </w:t>
      </w:r>
      <w:proofErr w:type="spellStart"/>
      <w:r>
        <w:rPr>
          <w:sz w:val="22"/>
          <w:szCs w:val="22"/>
        </w:rPr>
        <w:t>ErbbauRG</w:t>
      </w:r>
      <w:proofErr w:type="spellEnd"/>
      <w:r>
        <w:rPr>
          <w:sz w:val="22"/>
          <w:szCs w:val="22"/>
        </w:rPr>
        <w:t xml:space="preserve"> </w:t>
      </w:r>
    </w:p>
    <w:p w:rsidR="00C03EE3" w:rsidRDefault="00C03EE3" w:rsidP="00C03EE3">
      <w:pPr>
        <w:pStyle w:val="Default"/>
        <w:spacing w:after="34"/>
        <w:rPr>
          <w:sz w:val="22"/>
          <w:szCs w:val="22"/>
        </w:rPr>
      </w:pPr>
      <w:r>
        <w:rPr>
          <w:sz w:val="22"/>
          <w:szCs w:val="22"/>
        </w:rPr>
        <w:t xml:space="preserve">- Grunddienstbarkeit §§ 1018 ff. </w:t>
      </w:r>
    </w:p>
    <w:p w:rsidR="00C03EE3" w:rsidRDefault="00C03EE3" w:rsidP="00C03EE3">
      <w:pPr>
        <w:pStyle w:val="Default"/>
        <w:spacing w:after="34"/>
        <w:rPr>
          <w:sz w:val="22"/>
          <w:szCs w:val="22"/>
        </w:rPr>
      </w:pPr>
      <w:r>
        <w:rPr>
          <w:sz w:val="22"/>
          <w:szCs w:val="22"/>
        </w:rPr>
        <w:t xml:space="preserve">- Nießbrauch §§ 1030 ff. </w:t>
      </w:r>
    </w:p>
    <w:p w:rsidR="00C03EE3" w:rsidRDefault="00C03EE3" w:rsidP="00C03EE3">
      <w:pPr>
        <w:pStyle w:val="Default"/>
        <w:spacing w:after="34"/>
        <w:rPr>
          <w:sz w:val="22"/>
          <w:szCs w:val="22"/>
        </w:rPr>
      </w:pPr>
      <w:r>
        <w:rPr>
          <w:sz w:val="22"/>
          <w:szCs w:val="22"/>
        </w:rPr>
        <w:t xml:space="preserve">- Beschränkte persönliche Dienstbarkeit §§ 1090 ff. </w:t>
      </w:r>
    </w:p>
    <w:p w:rsidR="00C03EE3" w:rsidRDefault="00C03EE3" w:rsidP="00C03EE3">
      <w:pPr>
        <w:pStyle w:val="Default"/>
        <w:spacing w:after="34"/>
        <w:rPr>
          <w:sz w:val="22"/>
          <w:szCs w:val="22"/>
        </w:rPr>
      </w:pPr>
      <w:r>
        <w:rPr>
          <w:sz w:val="22"/>
          <w:szCs w:val="22"/>
        </w:rPr>
        <w:t xml:space="preserve">- Dauerwohnrecht § 31 WEG </w:t>
      </w:r>
    </w:p>
    <w:p w:rsidR="00C03EE3" w:rsidRDefault="00C03EE3" w:rsidP="00C03EE3">
      <w:pPr>
        <w:pStyle w:val="Default"/>
        <w:spacing w:after="34"/>
        <w:rPr>
          <w:sz w:val="22"/>
          <w:szCs w:val="22"/>
        </w:rPr>
      </w:pPr>
      <w:r>
        <w:rPr>
          <w:sz w:val="22"/>
          <w:szCs w:val="22"/>
        </w:rPr>
        <w:t xml:space="preserve">- Vorkaufsrecht §§ 1094 ff. </w:t>
      </w:r>
    </w:p>
    <w:p w:rsidR="00C03EE3" w:rsidRDefault="00C03EE3" w:rsidP="00C03EE3">
      <w:pPr>
        <w:pStyle w:val="Default"/>
        <w:rPr>
          <w:sz w:val="22"/>
          <w:szCs w:val="22"/>
        </w:rPr>
      </w:pPr>
      <w:r>
        <w:rPr>
          <w:sz w:val="22"/>
          <w:szCs w:val="22"/>
        </w:rPr>
        <w:t xml:space="preserve">- Reallast §§ 1105 ff. </w:t>
      </w:r>
    </w:p>
    <w:p w:rsidR="00C03EE3" w:rsidRDefault="00C03EE3" w:rsidP="00C03EE3">
      <w:pPr>
        <w:pStyle w:val="Default"/>
        <w:rPr>
          <w:sz w:val="22"/>
          <w:szCs w:val="22"/>
        </w:rPr>
      </w:pPr>
    </w:p>
    <w:p w:rsidR="00C03EE3" w:rsidRPr="00C03EE3" w:rsidRDefault="00C03EE3" w:rsidP="00C03EE3">
      <w:pPr>
        <w:pStyle w:val="Default"/>
        <w:rPr>
          <w:b/>
          <w:sz w:val="22"/>
          <w:szCs w:val="22"/>
          <w:u w:val="single"/>
        </w:rPr>
      </w:pPr>
      <w:r w:rsidRPr="00C03EE3">
        <w:rPr>
          <w:b/>
          <w:sz w:val="22"/>
          <w:szCs w:val="22"/>
          <w:u w:val="single"/>
        </w:rPr>
        <w:t xml:space="preserve">Abt. III </w:t>
      </w:r>
      <w:r>
        <w:rPr>
          <w:b/>
          <w:sz w:val="22"/>
          <w:szCs w:val="22"/>
          <w:u w:val="single"/>
        </w:rPr>
        <w:br/>
      </w:r>
    </w:p>
    <w:p w:rsidR="00C03EE3" w:rsidRDefault="00C03EE3" w:rsidP="00C03EE3">
      <w:pPr>
        <w:pStyle w:val="Default"/>
        <w:spacing w:after="34"/>
        <w:rPr>
          <w:sz w:val="22"/>
          <w:szCs w:val="22"/>
        </w:rPr>
      </w:pPr>
      <w:r>
        <w:rPr>
          <w:sz w:val="22"/>
          <w:szCs w:val="22"/>
        </w:rPr>
        <w:t xml:space="preserve">- Hypothek §§ 1113 ff </w:t>
      </w:r>
    </w:p>
    <w:p w:rsidR="00C03EE3" w:rsidRDefault="00C03EE3" w:rsidP="00C03EE3">
      <w:pPr>
        <w:pStyle w:val="Default"/>
        <w:spacing w:after="34"/>
        <w:rPr>
          <w:sz w:val="22"/>
          <w:szCs w:val="22"/>
        </w:rPr>
      </w:pPr>
      <w:r>
        <w:rPr>
          <w:sz w:val="22"/>
          <w:szCs w:val="22"/>
        </w:rPr>
        <w:t xml:space="preserve">- Grundschuld §§ 1191 ff </w:t>
      </w:r>
    </w:p>
    <w:p w:rsidR="00C03EE3" w:rsidRDefault="00C03EE3" w:rsidP="00C03EE3">
      <w:pPr>
        <w:pStyle w:val="Default"/>
        <w:spacing w:after="34"/>
        <w:rPr>
          <w:sz w:val="22"/>
          <w:szCs w:val="22"/>
        </w:rPr>
      </w:pPr>
      <w:r>
        <w:rPr>
          <w:sz w:val="22"/>
          <w:szCs w:val="22"/>
        </w:rPr>
        <w:t xml:space="preserve">- Rentenschuld §§ 1199ff. </w:t>
      </w:r>
    </w:p>
    <w:p w:rsidR="00C03EE3" w:rsidRDefault="00C03EE3" w:rsidP="00C03EE3">
      <w:pPr>
        <w:pStyle w:val="Default"/>
        <w:rPr>
          <w:sz w:val="22"/>
          <w:szCs w:val="22"/>
        </w:rPr>
      </w:pPr>
      <w:r>
        <w:rPr>
          <w:sz w:val="22"/>
          <w:szCs w:val="22"/>
        </w:rPr>
        <w:t xml:space="preserve">- Pfandrecht an Hypothek, Grundschuld §§ 1273 ff </w:t>
      </w:r>
      <w:r>
        <w:rPr>
          <w:sz w:val="22"/>
          <w:szCs w:val="22"/>
        </w:rPr>
        <w:br/>
        <w:t xml:space="preserve">  und Rentenschuld</w:t>
      </w:r>
    </w:p>
    <w:p w:rsidR="00C03EE3" w:rsidRDefault="00C03EE3" w:rsidP="00C56C1F">
      <w:pPr>
        <w:rPr>
          <w:rFonts w:ascii="Arial" w:hAnsi="Arial" w:cs="Arial"/>
        </w:rPr>
      </w:pPr>
    </w:p>
    <w:p w:rsidR="00C03EE3" w:rsidRPr="004017A2" w:rsidRDefault="00C03EE3" w:rsidP="00C56C1F">
      <w:pPr>
        <w:rPr>
          <w:rFonts w:ascii="Arial" w:hAnsi="Arial" w:cs="Arial"/>
          <w:b/>
        </w:rPr>
      </w:pPr>
      <w:r w:rsidRPr="004017A2">
        <w:rPr>
          <w:rFonts w:ascii="Arial" w:hAnsi="Arial" w:cs="Arial"/>
          <w:b/>
        </w:rPr>
        <w:t>Dienstbarkeiten sind Rechte, die dem Berechtigten unter Einschränkung des Eigentümerrechts erlauben, Nutzungen aus einem Grundstück zu ziehen oder ein Recht auszuüben, das ihm der Eigentümer sonst verbieten könnte.</w:t>
      </w:r>
    </w:p>
    <w:p w:rsidR="00C03EE3" w:rsidRDefault="00C03EE3" w:rsidP="00C56C1F">
      <w:pPr>
        <w:rPr>
          <w:rFonts w:ascii="Arial" w:hAnsi="Arial" w:cs="Arial"/>
          <w:color w:val="FF0000"/>
        </w:rPr>
      </w:pPr>
    </w:p>
    <w:p w:rsidR="00C03EE3" w:rsidRDefault="00C03EE3" w:rsidP="00C56C1F">
      <w:pPr>
        <w:rPr>
          <w:rFonts w:ascii="Arial" w:hAnsi="Arial" w:cs="Arial"/>
          <w:b/>
          <w:color w:val="FF0000"/>
          <w:sz w:val="24"/>
          <w:szCs w:val="24"/>
        </w:rPr>
      </w:pPr>
    </w:p>
    <w:p w:rsidR="004017A2" w:rsidRDefault="004017A2" w:rsidP="00C56C1F">
      <w:pPr>
        <w:rPr>
          <w:rFonts w:ascii="Arial" w:hAnsi="Arial" w:cs="Arial"/>
          <w:b/>
          <w:color w:val="FF0000"/>
          <w:sz w:val="24"/>
          <w:szCs w:val="24"/>
        </w:rPr>
      </w:pPr>
    </w:p>
    <w:p w:rsidR="004017A2" w:rsidRDefault="004017A2" w:rsidP="00C56C1F">
      <w:pPr>
        <w:rPr>
          <w:rFonts w:ascii="Arial" w:hAnsi="Arial" w:cs="Arial"/>
          <w:b/>
          <w:color w:val="FF0000"/>
          <w:sz w:val="24"/>
          <w:szCs w:val="24"/>
        </w:rPr>
      </w:pPr>
    </w:p>
    <w:p w:rsidR="004017A2" w:rsidRPr="004017A2" w:rsidRDefault="004017A2" w:rsidP="004017A2">
      <w:pPr>
        <w:pStyle w:val="Default"/>
        <w:rPr>
          <w:b/>
          <w:color w:val="auto"/>
          <w:sz w:val="22"/>
          <w:szCs w:val="22"/>
          <w:u w:val="single"/>
        </w:rPr>
      </w:pPr>
      <w:r w:rsidRPr="004017A2">
        <w:rPr>
          <w:b/>
          <w:color w:val="auto"/>
          <w:sz w:val="22"/>
          <w:szCs w:val="22"/>
          <w:u w:val="single"/>
        </w:rPr>
        <w:t xml:space="preserve">Man unterscheidet wie folgt: </w:t>
      </w:r>
      <w:r w:rsidRPr="004017A2">
        <w:rPr>
          <w:b/>
          <w:color w:val="auto"/>
          <w:sz w:val="22"/>
          <w:szCs w:val="22"/>
          <w:u w:val="single"/>
        </w:rPr>
        <w:br/>
      </w:r>
    </w:p>
    <w:p w:rsidR="004017A2" w:rsidRPr="004017A2" w:rsidRDefault="004017A2" w:rsidP="004017A2">
      <w:pPr>
        <w:pStyle w:val="Default"/>
        <w:rPr>
          <w:color w:val="auto"/>
          <w:sz w:val="22"/>
          <w:szCs w:val="22"/>
        </w:rPr>
      </w:pPr>
      <w:r w:rsidRPr="004017A2">
        <w:rPr>
          <w:b/>
          <w:bCs/>
          <w:color w:val="70AD47" w:themeColor="accent6"/>
          <w:sz w:val="22"/>
          <w:szCs w:val="22"/>
        </w:rPr>
        <w:t xml:space="preserve">Grunddienstbarkeit </w:t>
      </w:r>
      <w:r w:rsidRPr="004017A2">
        <w:rPr>
          <w:color w:val="auto"/>
          <w:sz w:val="22"/>
          <w:szCs w:val="22"/>
        </w:rPr>
        <w:t xml:space="preserve"> §§ 1018 ff. BGB</w:t>
      </w:r>
      <w:r w:rsidRPr="004017A2">
        <w:rPr>
          <w:b/>
          <w:bCs/>
          <w:color w:val="auto"/>
          <w:sz w:val="22"/>
          <w:szCs w:val="22"/>
        </w:rPr>
        <w:t xml:space="preserve"> </w:t>
      </w:r>
      <w:r w:rsidRPr="004017A2">
        <w:rPr>
          <w:b/>
          <w:bCs/>
          <w:color w:val="auto"/>
          <w:sz w:val="22"/>
          <w:szCs w:val="22"/>
        </w:rPr>
        <w:br/>
      </w:r>
      <w:r w:rsidRPr="004017A2">
        <w:rPr>
          <w:b/>
          <w:bCs/>
          <w:color w:val="70AD47" w:themeColor="accent6"/>
          <w:sz w:val="22"/>
          <w:szCs w:val="22"/>
        </w:rPr>
        <w:t>Dauerwohnrecht</w:t>
      </w:r>
      <w:r>
        <w:rPr>
          <w:b/>
          <w:bCs/>
          <w:color w:val="auto"/>
          <w:sz w:val="22"/>
          <w:szCs w:val="22"/>
        </w:rPr>
        <w:t xml:space="preserve"> </w:t>
      </w:r>
      <w:r w:rsidRPr="004017A2">
        <w:rPr>
          <w:color w:val="auto"/>
          <w:sz w:val="22"/>
          <w:szCs w:val="22"/>
        </w:rPr>
        <w:t>§ 31 WEG</w:t>
      </w:r>
    </w:p>
    <w:p w:rsidR="004017A2" w:rsidRPr="004017A2" w:rsidRDefault="004017A2" w:rsidP="004017A2">
      <w:pPr>
        <w:pStyle w:val="Default"/>
        <w:rPr>
          <w:b/>
          <w:i/>
          <w:color w:val="auto"/>
          <w:sz w:val="22"/>
          <w:szCs w:val="22"/>
          <w:u w:val="single"/>
        </w:rPr>
      </w:pPr>
      <w:r w:rsidRPr="004017A2">
        <w:rPr>
          <w:b/>
          <w:bCs/>
          <w:color w:val="auto"/>
          <w:sz w:val="22"/>
          <w:szCs w:val="22"/>
        </w:rPr>
        <w:br/>
      </w:r>
      <w:r w:rsidRPr="004017A2">
        <w:rPr>
          <w:b/>
          <w:bCs/>
          <w:color w:val="auto"/>
          <w:sz w:val="22"/>
          <w:szCs w:val="22"/>
        </w:rPr>
        <w:br/>
      </w:r>
      <w:r w:rsidRPr="004017A2">
        <w:rPr>
          <w:b/>
          <w:i/>
          <w:color w:val="auto"/>
          <w:sz w:val="22"/>
          <w:szCs w:val="22"/>
          <w:u w:val="single"/>
        </w:rPr>
        <w:t>persönliche Dienstbarkeiten</w:t>
      </w:r>
    </w:p>
    <w:p w:rsidR="004017A2" w:rsidRPr="004017A2" w:rsidRDefault="004017A2" w:rsidP="004017A2">
      <w:pPr>
        <w:rPr>
          <w:rFonts w:ascii="Arial" w:hAnsi="Arial" w:cs="Arial"/>
          <w:b/>
          <w:color w:val="FF0000"/>
          <w:sz w:val="24"/>
          <w:szCs w:val="24"/>
        </w:rPr>
      </w:pPr>
      <w:r w:rsidRPr="004017A2">
        <w:rPr>
          <w:rFonts w:ascii="Arial" w:hAnsi="Arial" w:cs="Arial"/>
          <w:b/>
          <w:bCs/>
          <w:color w:val="70AD47" w:themeColor="accent6"/>
        </w:rPr>
        <w:t>Nießbrauch,</w:t>
      </w:r>
      <w:r w:rsidRPr="004017A2">
        <w:rPr>
          <w:rFonts w:ascii="Arial" w:hAnsi="Arial" w:cs="Arial"/>
          <w:color w:val="70AD47" w:themeColor="accent6"/>
        </w:rPr>
        <w:t xml:space="preserve"> </w:t>
      </w:r>
      <w:r w:rsidRPr="004017A2">
        <w:rPr>
          <w:rFonts w:ascii="Arial" w:hAnsi="Arial" w:cs="Arial"/>
        </w:rPr>
        <w:t xml:space="preserve">§§ 1030 ff. </w:t>
      </w:r>
      <w:r w:rsidRPr="004017A2">
        <w:rPr>
          <w:rFonts w:ascii="Arial" w:hAnsi="Arial" w:cs="Arial"/>
          <w:b/>
          <w:bCs/>
        </w:rPr>
        <w:t xml:space="preserve"> </w:t>
      </w:r>
      <w:r w:rsidRPr="004017A2">
        <w:rPr>
          <w:rFonts w:ascii="Arial" w:hAnsi="Arial" w:cs="Arial"/>
        </w:rPr>
        <w:t>BGB</w:t>
      </w:r>
      <w:r w:rsidRPr="004017A2">
        <w:rPr>
          <w:rFonts w:ascii="Arial" w:hAnsi="Arial" w:cs="Arial"/>
          <w:b/>
          <w:bCs/>
        </w:rPr>
        <w:br/>
      </w:r>
      <w:r w:rsidRPr="004017A2">
        <w:rPr>
          <w:rFonts w:ascii="Arial" w:hAnsi="Arial" w:cs="Arial"/>
          <w:b/>
          <w:bCs/>
          <w:color w:val="70AD47" w:themeColor="accent6"/>
        </w:rPr>
        <w:t xml:space="preserve">beschränkte persönliche </w:t>
      </w:r>
      <w:r w:rsidRPr="004017A2">
        <w:rPr>
          <w:rFonts w:ascii="Arial" w:hAnsi="Arial" w:cs="Arial"/>
          <w:b/>
          <w:color w:val="70AD47" w:themeColor="accent6"/>
        </w:rPr>
        <w:t>Dienstbarkeit</w:t>
      </w:r>
      <w:r w:rsidRPr="004017A2">
        <w:rPr>
          <w:rFonts w:ascii="Arial" w:hAnsi="Arial" w:cs="Arial"/>
          <w:color w:val="70AD47" w:themeColor="accent6"/>
        </w:rPr>
        <w:t xml:space="preserve">, </w:t>
      </w:r>
      <w:r w:rsidRPr="004017A2">
        <w:rPr>
          <w:rFonts w:ascii="Arial" w:hAnsi="Arial" w:cs="Arial"/>
        </w:rPr>
        <w:t>§§ 1090 ff. BGB</w:t>
      </w:r>
    </w:p>
    <w:p w:rsidR="004017A2" w:rsidRDefault="004017A2" w:rsidP="004017A2">
      <w:pPr>
        <w:pStyle w:val="Default"/>
        <w:rPr>
          <w:color w:val="auto"/>
          <w:sz w:val="22"/>
          <w:szCs w:val="22"/>
        </w:rPr>
      </w:pPr>
    </w:p>
    <w:p w:rsidR="004017A2" w:rsidRDefault="004017A2" w:rsidP="004017A2">
      <w:pPr>
        <w:pStyle w:val="Default"/>
        <w:rPr>
          <w:color w:val="auto"/>
          <w:sz w:val="22"/>
          <w:szCs w:val="22"/>
        </w:rPr>
      </w:pPr>
    </w:p>
    <w:p w:rsidR="00706595" w:rsidRPr="00706595" w:rsidRDefault="00706595" w:rsidP="00706595">
      <w:pPr>
        <w:autoSpaceDE w:val="0"/>
        <w:autoSpaceDN w:val="0"/>
        <w:adjustRightInd w:val="0"/>
        <w:spacing w:after="0" w:line="240" w:lineRule="auto"/>
        <w:rPr>
          <w:rFonts w:ascii="Arial" w:hAnsi="Arial" w:cs="Arial"/>
          <w:b/>
          <w:color w:val="5B9BD5" w:themeColor="accent1"/>
          <w:sz w:val="24"/>
          <w:szCs w:val="24"/>
        </w:rPr>
      </w:pPr>
      <w:r w:rsidRPr="00706595">
        <w:rPr>
          <w:rFonts w:ascii="Arial" w:hAnsi="Arial" w:cs="Arial"/>
          <w:b/>
          <w:color w:val="5B9BD5" w:themeColor="accent1"/>
          <w:sz w:val="24"/>
          <w:szCs w:val="24"/>
        </w:rPr>
        <w:t xml:space="preserve">Grunddienstbarkeit, §§ 1018 ff. BGB </w:t>
      </w:r>
      <w:r>
        <w:rPr>
          <w:rFonts w:ascii="Arial" w:hAnsi="Arial" w:cs="Arial"/>
          <w:b/>
          <w:color w:val="5B9BD5" w:themeColor="accent1"/>
          <w:sz w:val="24"/>
          <w:szCs w:val="24"/>
        </w:rPr>
        <w:br/>
      </w:r>
    </w:p>
    <w:p w:rsidR="00706595" w:rsidRPr="00706595" w:rsidRDefault="00706595" w:rsidP="00706595">
      <w:pPr>
        <w:autoSpaceDE w:val="0"/>
        <w:autoSpaceDN w:val="0"/>
        <w:adjustRightInd w:val="0"/>
        <w:spacing w:after="0" w:line="240" w:lineRule="auto"/>
        <w:rPr>
          <w:rFonts w:ascii="Arial" w:hAnsi="Arial" w:cs="Arial"/>
          <w:color w:val="000000"/>
        </w:rPr>
      </w:pPr>
      <w:r w:rsidRPr="00706595">
        <w:rPr>
          <w:rFonts w:ascii="Arial" w:hAnsi="Arial" w:cs="Arial"/>
          <w:color w:val="000000"/>
        </w:rPr>
        <w:t xml:space="preserve">Die Grunddienstbarkeit ist die Belastung eines Grundstücks (= dienendes Grundstück) zugunsten des jeweiligen Eigentümers eines anderen Grundstücks (= herrschendes Grundstück) in der Weise, dass </w:t>
      </w:r>
      <w:r>
        <w:rPr>
          <w:rFonts w:ascii="Arial" w:hAnsi="Arial" w:cs="Arial"/>
          <w:color w:val="000000"/>
        </w:rPr>
        <w:br/>
      </w:r>
    </w:p>
    <w:p w:rsidR="00706595" w:rsidRPr="00706595" w:rsidRDefault="00706595" w:rsidP="00706595">
      <w:pPr>
        <w:autoSpaceDE w:val="0"/>
        <w:autoSpaceDN w:val="0"/>
        <w:adjustRightInd w:val="0"/>
        <w:spacing w:after="36" w:line="240" w:lineRule="auto"/>
        <w:rPr>
          <w:rFonts w:ascii="Arial" w:hAnsi="Arial" w:cs="Arial"/>
          <w:color w:val="000000"/>
        </w:rPr>
      </w:pPr>
      <w:r w:rsidRPr="00706595">
        <w:rPr>
          <w:rFonts w:ascii="Arial" w:hAnsi="Arial" w:cs="Arial"/>
          <w:b/>
          <w:color w:val="5B9BD5" w:themeColor="accent1"/>
        </w:rPr>
        <w:t>a)</w:t>
      </w:r>
      <w:r w:rsidRPr="00706595">
        <w:rPr>
          <w:rFonts w:ascii="Arial" w:hAnsi="Arial" w:cs="Arial"/>
          <w:color w:val="5B9BD5" w:themeColor="accent1"/>
        </w:rPr>
        <w:t xml:space="preserve"> </w:t>
      </w:r>
      <w:r w:rsidRPr="00706595">
        <w:rPr>
          <w:rFonts w:ascii="Arial" w:hAnsi="Arial" w:cs="Arial"/>
          <w:color w:val="000000"/>
        </w:rPr>
        <w:t xml:space="preserve">dieser das Grundstück in einzelnen Beziehungen benutzen darf (= </w:t>
      </w:r>
      <w:r w:rsidRPr="00706595">
        <w:rPr>
          <w:rFonts w:ascii="Arial" w:hAnsi="Arial" w:cs="Arial"/>
          <w:b/>
          <w:color w:val="5B9BD5" w:themeColor="accent1"/>
        </w:rPr>
        <w:t>Benutzungs-dienstbarkeit</w:t>
      </w:r>
      <w:r w:rsidRPr="00706595">
        <w:rPr>
          <w:rFonts w:ascii="Arial" w:hAnsi="Arial" w:cs="Arial"/>
          <w:color w:val="000000"/>
        </w:rPr>
        <w:t xml:space="preserve">; z.B. Berechtigung zum Gehen oder Fahren, Legen und Belassen von Rohren oder Leitungen, Aufstellung von Leitungsmasten, Betrieb einer Tankstelle, Betrieb eines Ladens), oder </w:t>
      </w:r>
      <w:r>
        <w:rPr>
          <w:rFonts w:ascii="Arial" w:hAnsi="Arial" w:cs="Arial"/>
          <w:color w:val="000000"/>
        </w:rPr>
        <w:br/>
      </w:r>
    </w:p>
    <w:p w:rsidR="00706595" w:rsidRPr="00706595" w:rsidRDefault="00706595" w:rsidP="00706595">
      <w:pPr>
        <w:autoSpaceDE w:val="0"/>
        <w:autoSpaceDN w:val="0"/>
        <w:adjustRightInd w:val="0"/>
        <w:spacing w:after="0" w:line="240" w:lineRule="auto"/>
        <w:rPr>
          <w:rFonts w:ascii="Arial" w:hAnsi="Arial" w:cs="Arial"/>
          <w:color w:val="000000"/>
        </w:rPr>
      </w:pPr>
      <w:r w:rsidRPr="00706595">
        <w:rPr>
          <w:rFonts w:ascii="Arial" w:hAnsi="Arial" w:cs="Arial"/>
          <w:b/>
          <w:color w:val="5B9BD5" w:themeColor="accent1"/>
        </w:rPr>
        <w:t>b)</w:t>
      </w:r>
      <w:r w:rsidRPr="00706595">
        <w:rPr>
          <w:rFonts w:ascii="Arial" w:hAnsi="Arial" w:cs="Arial"/>
          <w:color w:val="5B9BD5" w:themeColor="accent1"/>
        </w:rPr>
        <w:t xml:space="preserve"> </w:t>
      </w:r>
      <w:r w:rsidRPr="00706595">
        <w:rPr>
          <w:rFonts w:ascii="Arial" w:hAnsi="Arial" w:cs="Arial"/>
          <w:color w:val="000000"/>
        </w:rPr>
        <w:t xml:space="preserve">auf dem Grundstück gewisse Handlungen nicht vorgenommen werden dürfen </w:t>
      </w:r>
    </w:p>
    <w:p w:rsidR="00706595" w:rsidRPr="00706595" w:rsidRDefault="00706595" w:rsidP="00706595">
      <w:pPr>
        <w:autoSpaceDE w:val="0"/>
        <w:autoSpaceDN w:val="0"/>
        <w:adjustRightInd w:val="0"/>
        <w:spacing w:after="0" w:line="240" w:lineRule="auto"/>
        <w:rPr>
          <w:rFonts w:ascii="Arial" w:hAnsi="Arial" w:cs="Arial"/>
          <w:color w:val="000000"/>
        </w:rPr>
      </w:pPr>
      <w:r w:rsidRPr="00706595">
        <w:rPr>
          <w:rFonts w:ascii="Arial" w:hAnsi="Arial" w:cs="Arial"/>
          <w:color w:val="000000"/>
        </w:rPr>
        <w:t xml:space="preserve">(= </w:t>
      </w:r>
      <w:r w:rsidRPr="00706595">
        <w:rPr>
          <w:rFonts w:ascii="Arial" w:hAnsi="Arial" w:cs="Arial"/>
          <w:b/>
          <w:color w:val="5B9BD5" w:themeColor="accent1"/>
        </w:rPr>
        <w:t>Unterlassungsdienstbarkeit</w:t>
      </w:r>
      <w:r w:rsidRPr="00706595">
        <w:rPr>
          <w:rFonts w:ascii="Arial" w:hAnsi="Arial" w:cs="Arial"/>
          <w:b/>
          <w:color w:val="000000"/>
        </w:rPr>
        <w:t>;</w:t>
      </w:r>
      <w:r w:rsidRPr="00706595">
        <w:rPr>
          <w:rFonts w:ascii="Arial" w:hAnsi="Arial" w:cs="Arial"/>
          <w:color w:val="000000"/>
        </w:rPr>
        <w:t xml:space="preserve"> z.B. Bebauungsverbot, Baubeschränkung, Einhaltung eines Grenzabstandes), oder </w:t>
      </w:r>
      <w:r>
        <w:rPr>
          <w:rFonts w:ascii="Arial" w:hAnsi="Arial" w:cs="Arial"/>
          <w:color w:val="000000"/>
        </w:rPr>
        <w:br/>
      </w:r>
    </w:p>
    <w:p w:rsidR="00706595" w:rsidRPr="00706595" w:rsidRDefault="00706595" w:rsidP="00706595">
      <w:pPr>
        <w:autoSpaceDE w:val="0"/>
        <w:autoSpaceDN w:val="0"/>
        <w:adjustRightInd w:val="0"/>
        <w:spacing w:after="0" w:line="240" w:lineRule="auto"/>
        <w:rPr>
          <w:rFonts w:ascii="Arial" w:hAnsi="Arial" w:cs="Arial"/>
          <w:color w:val="000000"/>
        </w:rPr>
      </w:pPr>
      <w:r w:rsidRPr="00706595">
        <w:rPr>
          <w:rFonts w:ascii="Arial" w:hAnsi="Arial" w:cs="Arial"/>
          <w:b/>
          <w:color w:val="5B9BD5" w:themeColor="accent1"/>
        </w:rPr>
        <w:t>c)</w:t>
      </w:r>
      <w:r w:rsidRPr="00706595">
        <w:rPr>
          <w:rFonts w:ascii="Arial" w:hAnsi="Arial" w:cs="Arial"/>
          <w:color w:val="5B9BD5" w:themeColor="accent1"/>
        </w:rPr>
        <w:t xml:space="preserve"> </w:t>
      </w:r>
      <w:r w:rsidRPr="00706595">
        <w:rPr>
          <w:rFonts w:ascii="Arial" w:hAnsi="Arial" w:cs="Arial"/>
          <w:color w:val="000000"/>
        </w:rPr>
        <w:t xml:space="preserve">die Ausübung eines Rechts ausgeschlossen ist, das sich aus dem Eigentum an dem belasteten Grundstück dem anderen Grundstück gegenüber ergibt (= </w:t>
      </w:r>
      <w:r w:rsidRPr="00706595">
        <w:rPr>
          <w:rFonts w:ascii="Arial" w:hAnsi="Arial" w:cs="Arial"/>
          <w:b/>
          <w:color w:val="5B9BD5" w:themeColor="accent1"/>
        </w:rPr>
        <w:t>Ausschluss eines Eigentümerrechts</w:t>
      </w:r>
      <w:r w:rsidRPr="00706595">
        <w:rPr>
          <w:rFonts w:ascii="Arial" w:hAnsi="Arial" w:cs="Arial"/>
          <w:color w:val="000000"/>
        </w:rPr>
        <w:t xml:space="preserve">; z.B. Duldung einer gefährlichen Anlage auf dem Nachbargrundstück, Duldung wesentlicher Emissionen). </w:t>
      </w:r>
    </w:p>
    <w:p w:rsidR="00706595" w:rsidRPr="00706595" w:rsidRDefault="00706595" w:rsidP="00706595">
      <w:pPr>
        <w:autoSpaceDE w:val="0"/>
        <w:autoSpaceDN w:val="0"/>
        <w:adjustRightInd w:val="0"/>
        <w:spacing w:after="0" w:line="240" w:lineRule="auto"/>
        <w:rPr>
          <w:rFonts w:ascii="Arial" w:hAnsi="Arial" w:cs="Arial"/>
          <w:color w:val="000000"/>
        </w:rPr>
      </w:pPr>
    </w:p>
    <w:p w:rsidR="004017A2" w:rsidRPr="00C03EE3" w:rsidRDefault="00706595" w:rsidP="00706595">
      <w:pPr>
        <w:rPr>
          <w:rFonts w:ascii="Arial" w:hAnsi="Arial" w:cs="Arial"/>
          <w:b/>
          <w:color w:val="FF0000"/>
          <w:sz w:val="24"/>
          <w:szCs w:val="24"/>
        </w:rPr>
      </w:pPr>
      <w:r w:rsidRPr="00706595">
        <w:rPr>
          <w:rFonts w:ascii="Arial" w:hAnsi="Arial" w:cs="Arial"/>
          <w:color w:val="000000"/>
        </w:rPr>
        <w:t>Als subjektiv-dingliches Recht ist die Grunddienstbarkeit Bestandteil des herrschenden Grundstücks und nicht von dessen Eigentum zu trennen, § 96 BGB.</w:t>
      </w:r>
      <w:r>
        <w:rPr>
          <w:rFonts w:ascii="Arial" w:hAnsi="Arial" w:cs="Arial"/>
          <w:color w:val="000000"/>
        </w:rPr>
        <w:br/>
      </w:r>
      <w:bookmarkStart w:id="0" w:name="_GoBack"/>
      <w:bookmarkEnd w:id="0"/>
      <w:r w:rsidRPr="00706595">
        <w:rPr>
          <w:rFonts w:ascii="Arial" w:hAnsi="Arial" w:cs="Arial"/>
          <w:color w:val="000000"/>
        </w:rPr>
        <w:t>Die Grunddienstbarkeit geht also auf jeden Rechtsnachfolger des herrschenden Grundstücks ohne Weiteres über.</w:t>
      </w:r>
    </w:p>
    <w:sectPr w:rsidR="004017A2" w:rsidRPr="00C03E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1F"/>
    <w:rsid w:val="004017A2"/>
    <w:rsid w:val="00633937"/>
    <w:rsid w:val="00706595"/>
    <w:rsid w:val="00C03EE3"/>
    <w:rsid w:val="00C56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5F23"/>
  <w15:chartTrackingRefBased/>
  <w15:docId w15:val="{D00557BA-9D4C-474D-88FF-202E0780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56C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2</cp:revision>
  <dcterms:created xsi:type="dcterms:W3CDTF">2024-07-08T10:33:00Z</dcterms:created>
  <dcterms:modified xsi:type="dcterms:W3CDTF">2024-07-08T11:14:00Z</dcterms:modified>
</cp:coreProperties>
</file>