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0329" w:rsidRDefault="00265AAE">
      <w:pPr>
        <w:rPr>
          <w:b/>
          <w:sz w:val="36"/>
          <w:szCs w:val="36"/>
        </w:rPr>
      </w:pPr>
      <w:r w:rsidRPr="00265AAE">
        <w:rPr>
          <w:b/>
          <w:sz w:val="36"/>
          <w:szCs w:val="36"/>
        </w:rPr>
        <w:t>Lösungsansatz Übung Einführung in das Betreuungsrecht</w:t>
      </w:r>
    </w:p>
    <w:p w:rsidR="00265AAE" w:rsidRDefault="00265AAE">
      <w:pPr>
        <w:rPr>
          <w:b/>
          <w:sz w:val="36"/>
          <w:szCs w:val="36"/>
        </w:rPr>
      </w:pPr>
    </w:p>
    <w:p w:rsidR="00265AAE" w:rsidRDefault="00265AAE" w:rsidP="00265AAE">
      <w:pPr>
        <w:pStyle w:val="Listenabsatz"/>
        <w:numPr>
          <w:ilvl w:val="0"/>
          <w:numId w:val="1"/>
        </w:numPr>
        <w:rPr>
          <w:b/>
          <w:sz w:val="28"/>
          <w:szCs w:val="28"/>
        </w:rPr>
      </w:pPr>
      <w:r w:rsidRPr="00265AAE">
        <w:rPr>
          <w:b/>
          <w:sz w:val="28"/>
          <w:szCs w:val="28"/>
        </w:rPr>
        <w:t xml:space="preserve">Betreuung </w:t>
      </w:r>
      <w:r>
        <w:rPr>
          <w:b/>
          <w:sz w:val="28"/>
          <w:szCs w:val="28"/>
        </w:rPr>
        <w:t>(rechtliche Betreuung) ist eine staatlich eingerichtete Fürsorge für Person und Vermögen von volljährigen Menschen, die aufgrund Krankheit oder Behinderung Bestand bei der Erledigung und Verwaltung ihrer Angelegenheiten benötigen.</w:t>
      </w:r>
    </w:p>
    <w:p w:rsidR="00265AAE" w:rsidRDefault="00265AAE" w:rsidP="00265AAE">
      <w:pPr>
        <w:pStyle w:val="Listenabsatz"/>
        <w:rPr>
          <w:b/>
          <w:sz w:val="28"/>
          <w:szCs w:val="28"/>
        </w:rPr>
      </w:pPr>
    </w:p>
    <w:p w:rsidR="00265AAE" w:rsidRDefault="00265AAE" w:rsidP="00265AAE">
      <w:pPr>
        <w:pStyle w:val="Listenabsatz"/>
        <w:numPr>
          <w:ilvl w:val="0"/>
          <w:numId w:val="1"/>
        </w:numPr>
        <w:rPr>
          <w:b/>
          <w:sz w:val="28"/>
          <w:szCs w:val="28"/>
        </w:rPr>
      </w:pPr>
      <w:r>
        <w:rPr>
          <w:b/>
          <w:sz w:val="28"/>
          <w:szCs w:val="28"/>
        </w:rPr>
        <w:t>Das Betreuungsgericht erfährt von einer einzuleitenden Betreuung in der Form, dass eine betroffene Person einen Antrag oder Dritte eine Anregung zur Betreuung beim zuständigen Gericht einreichen.</w:t>
      </w:r>
    </w:p>
    <w:p w:rsidR="00265AAE" w:rsidRPr="00265AAE" w:rsidRDefault="00265AAE" w:rsidP="00265AAE">
      <w:pPr>
        <w:pStyle w:val="Listenabsatz"/>
        <w:rPr>
          <w:b/>
          <w:sz w:val="28"/>
          <w:szCs w:val="28"/>
        </w:rPr>
      </w:pPr>
    </w:p>
    <w:p w:rsidR="00265AAE" w:rsidRDefault="00265AAE" w:rsidP="00265AAE">
      <w:pPr>
        <w:pStyle w:val="Listenabsatz"/>
        <w:rPr>
          <w:b/>
          <w:sz w:val="28"/>
          <w:szCs w:val="28"/>
        </w:rPr>
      </w:pPr>
    </w:p>
    <w:p w:rsidR="00265AAE" w:rsidRDefault="00265AAE" w:rsidP="00265AAE">
      <w:pPr>
        <w:pStyle w:val="Listenabsatz"/>
        <w:numPr>
          <w:ilvl w:val="0"/>
          <w:numId w:val="1"/>
        </w:numPr>
        <w:rPr>
          <w:b/>
          <w:sz w:val="28"/>
          <w:szCs w:val="28"/>
        </w:rPr>
      </w:pPr>
      <w:r>
        <w:rPr>
          <w:b/>
          <w:sz w:val="28"/>
          <w:szCs w:val="28"/>
        </w:rPr>
        <w:t>Sachliche Zuständigkeit: §§ 23a Abs. 1 Nr. 1, 23c Abs.1 GVG</w:t>
      </w:r>
    </w:p>
    <w:p w:rsidR="00265AAE" w:rsidRDefault="00265AAE" w:rsidP="00265AAE">
      <w:pPr>
        <w:pStyle w:val="Listenabsatz"/>
        <w:rPr>
          <w:b/>
          <w:sz w:val="28"/>
          <w:szCs w:val="28"/>
        </w:rPr>
      </w:pPr>
      <w:r>
        <w:rPr>
          <w:b/>
          <w:sz w:val="28"/>
          <w:szCs w:val="28"/>
        </w:rPr>
        <w:t xml:space="preserve">Örtliche Zuständigkeit: </w:t>
      </w:r>
      <w:r w:rsidR="00580509">
        <w:rPr>
          <w:b/>
          <w:sz w:val="28"/>
          <w:szCs w:val="28"/>
        </w:rPr>
        <w:t xml:space="preserve">§ 272 Abs. 1 </w:t>
      </w:r>
      <w:proofErr w:type="spellStart"/>
      <w:r w:rsidR="00580509">
        <w:rPr>
          <w:b/>
          <w:sz w:val="28"/>
          <w:szCs w:val="28"/>
        </w:rPr>
        <w:t>FamFG</w:t>
      </w:r>
      <w:proofErr w:type="spellEnd"/>
      <w:r w:rsidR="00DF0309">
        <w:rPr>
          <w:b/>
          <w:sz w:val="28"/>
          <w:szCs w:val="28"/>
        </w:rPr>
        <w:t>:</w:t>
      </w:r>
      <w:r w:rsidR="00580509">
        <w:rPr>
          <w:b/>
          <w:sz w:val="28"/>
          <w:szCs w:val="28"/>
        </w:rPr>
        <w:t xml:space="preserve"> </w:t>
      </w:r>
      <w:r>
        <w:rPr>
          <w:b/>
          <w:sz w:val="28"/>
          <w:szCs w:val="28"/>
        </w:rPr>
        <w:t xml:space="preserve"> </w:t>
      </w:r>
      <w:r w:rsidR="00580509">
        <w:rPr>
          <w:b/>
          <w:sz w:val="28"/>
          <w:szCs w:val="28"/>
        </w:rPr>
        <w:t>1. Das Gericht, bei dem die Betreuung anhängig ist, wenn bereits ein Betreuer bestellt ist</w:t>
      </w:r>
    </w:p>
    <w:p w:rsidR="00580509" w:rsidRDefault="00580509" w:rsidP="00265AAE">
      <w:pPr>
        <w:pStyle w:val="Listenabsatz"/>
        <w:rPr>
          <w:b/>
          <w:sz w:val="28"/>
          <w:szCs w:val="28"/>
        </w:rPr>
      </w:pPr>
      <w:r>
        <w:rPr>
          <w:b/>
          <w:sz w:val="28"/>
          <w:szCs w:val="28"/>
        </w:rPr>
        <w:t>2. das Gericht, in dessen Bezirk der Betroffene seinen gewöh</w:t>
      </w:r>
      <w:r w:rsidR="00514494">
        <w:rPr>
          <w:b/>
          <w:sz w:val="28"/>
          <w:szCs w:val="28"/>
        </w:rPr>
        <w:t>n</w:t>
      </w:r>
      <w:r>
        <w:rPr>
          <w:b/>
          <w:sz w:val="28"/>
          <w:szCs w:val="28"/>
        </w:rPr>
        <w:t>lichen Aufenthalt hat</w:t>
      </w:r>
    </w:p>
    <w:p w:rsidR="00580509" w:rsidRDefault="00580509" w:rsidP="00265AAE">
      <w:pPr>
        <w:pStyle w:val="Listenabsatz"/>
        <w:rPr>
          <w:b/>
          <w:sz w:val="28"/>
          <w:szCs w:val="28"/>
        </w:rPr>
      </w:pPr>
      <w:r>
        <w:rPr>
          <w:b/>
          <w:sz w:val="28"/>
          <w:szCs w:val="28"/>
        </w:rPr>
        <w:t>3. das Gericht, in dessen Bezirk das Bedürfnis der Fürsorge hervortritt</w:t>
      </w:r>
    </w:p>
    <w:p w:rsidR="00580509" w:rsidRDefault="00580509" w:rsidP="00265AAE">
      <w:pPr>
        <w:pStyle w:val="Listenabsatz"/>
        <w:rPr>
          <w:b/>
          <w:sz w:val="28"/>
          <w:szCs w:val="28"/>
        </w:rPr>
      </w:pPr>
      <w:r>
        <w:rPr>
          <w:b/>
          <w:sz w:val="28"/>
          <w:szCs w:val="28"/>
        </w:rPr>
        <w:t>4. das AG Schöneberg in Berlin, wenn der Betroffene Deutscher ist</w:t>
      </w:r>
    </w:p>
    <w:p w:rsidR="00580509" w:rsidRDefault="00580509" w:rsidP="00265AAE">
      <w:pPr>
        <w:pStyle w:val="Listenabsatz"/>
        <w:rPr>
          <w:b/>
          <w:sz w:val="28"/>
          <w:szCs w:val="28"/>
        </w:rPr>
      </w:pPr>
      <w:r>
        <w:rPr>
          <w:b/>
          <w:sz w:val="28"/>
          <w:szCs w:val="28"/>
        </w:rPr>
        <w:t xml:space="preserve">Für </w:t>
      </w:r>
      <w:proofErr w:type="spellStart"/>
      <w:r>
        <w:rPr>
          <w:b/>
          <w:sz w:val="28"/>
          <w:szCs w:val="28"/>
        </w:rPr>
        <w:t>einstw</w:t>
      </w:r>
      <w:proofErr w:type="spellEnd"/>
      <w:r>
        <w:rPr>
          <w:b/>
          <w:sz w:val="28"/>
          <w:szCs w:val="28"/>
        </w:rPr>
        <w:t xml:space="preserve">. Anordnungen nach § 300 </w:t>
      </w:r>
      <w:proofErr w:type="spellStart"/>
      <w:r>
        <w:rPr>
          <w:b/>
          <w:sz w:val="28"/>
          <w:szCs w:val="28"/>
        </w:rPr>
        <w:t>FamFG</w:t>
      </w:r>
      <w:proofErr w:type="spellEnd"/>
      <w:r>
        <w:rPr>
          <w:b/>
          <w:sz w:val="28"/>
          <w:szCs w:val="28"/>
        </w:rPr>
        <w:t xml:space="preserve">, auch das Gericht in dessen Bezirk das Bedürfnis der Fürsorge bekannt wird (Mitteilung an das zuständige Gericht) -&gt; § 272 (2) S. 1 </w:t>
      </w:r>
      <w:proofErr w:type="spellStart"/>
      <w:r>
        <w:rPr>
          <w:b/>
          <w:sz w:val="28"/>
          <w:szCs w:val="28"/>
        </w:rPr>
        <w:t>FamFG</w:t>
      </w:r>
      <w:proofErr w:type="spellEnd"/>
    </w:p>
    <w:p w:rsidR="00580509" w:rsidRDefault="00580509" w:rsidP="00580509">
      <w:pPr>
        <w:rPr>
          <w:b/>
          <w:sz w:val="28"/>
          <w:szCs w:val="28"/>
        </w:rPr>
      </w:pPr>
    </w:p>
    <w:p w:rsidR="00580509" w:rsidRDefault="007B7489" w:rsidP="00580509">
      <w:pPr>
        <w:pStyle w:val="Listenabsatz"/>
        <w:numPr>
          <w:ilvl w:val="0"/>
          <w:numId w:val="1"/>
        </w:numPr>
        <w:rPr>
          <w:b/>
          <w:sz w:val="28"/>
          <w:szCs w:val="28"/>
        </w:rPr>
      </w:pPr>
      <w:r>
        <w:rPr>
          <w:b/>
          <w:sz w:val="28"/>
          <w:szCs w:val="28"/>
        </w:rPr>
        <w:t>Gem. § 1814 BGB: Volljährigkeit, Krankheit oder Behinderung</w:t>
      </w:r>
      <w:r w:rsidR="00DF0309">
        <w:rPr>
          <w:b/>
          <w:sz w:val="28"/>
          <w:szCs w:val="28"/>
        </w:rPr>
        <w:t>, der freie Wille, Erforderlichkeit, fehlende Vorsorgeverfügung, Antrag/Anregung</w:t>
      </w:r>
    </w:p>
    <w:p w:rsidR="00C221DD" w:rsidRDefault="00C221DD" w:rsidP="00C221DD">
      <w:pPr>
        <w:pStyle w:val="Listenabsatz"/>
        <w:rPr>
          <w:b/>
          <w:sz w:val="28"/>
          <w:szCs w:val="28"/>
        </w:rPr>
      </w:pPr>
    </w:p>
    <w:p w:rsidR="00DF0309" w:rsidRDefault="00DF0309" w:rsidP="00580509">
      <w:pPr>
        <w:pStyle w:val="Listenabsatz"/>
        <w:numPr>
          <w:ilvl w:val="0"/>
          <w:numId w:val="1"/>
        </w:numPr>
        <w:rPr>
          <w:b/>
          <w:sz w:val="28"/>
          <w:szCs w:val="28"/>
        </w:rPr>
      </w:pPr>
      <w:r>
        <w:rPr>
          <w:b/>
          <w:sz w:val="28"/>
          <w:szCs w:val="28"/>
        </w:rPr>
        <w:t xml:space="preserve">Volljährige, geschäftsfähige, natürliche und juristische </w:t>
      </w:r>
      <w:proofErr w:type="gramStart"/>
      <w:r>
        <w:rPr>
          <w:b/>
          <w:sz w:val="28"/>
          <w:szCs w:val="28"/>
        </w:rPr>
        <w:t>Personen</w:t>
      </w:r>
      <w:r w:rsidR="00A23FCB">
        <w:rPr>
          <w:b/>
          <w:sz w:val="28"/>
          <w:szCs w:val="28"/>
        </w:rPr>
        <w:t>,</w:t>
      </w:r>
      <w:r w:rsidR="00EC0793">
        <w:rPr>
          <w:b/>
          <w:sz w:val="28"/>
          <w:szCs w:val="28"/>
        </w:rPr>
        <w:t xml:space="preserve"> </w:t>
      </w:r>
      <w:r w:rsidR="001935F4">
        <w:rPr>
          <w:b/>
          <w:sz w:val="28"/>
          <w:szCs w:val="28"/>
        </w:rPr>
        <w:t xml:space="preserve">  </w:t>
      </w:r>
      <w:proofErr w:type="gramEnd"/>
      <w:r>
        <w:rPr>
          <w:b/>
          <w:sz w:val="28"/>
          <w:szCs w:val="28"/>
        </w:rPr>
        <w:t xml:space="preserve"> die geeignet sind eine Betreuung zu führen.</w:t>
      </w:r>
    </w:p>
    <w:p w:rsidR="00C221DD" w:rsidRPr="00C221DD" w:rsidRDefault="00C221DD" w:rsidP="00C221DD">
      <w:pPr>
        <w:pStyle w:val="Listenabsatz"/>
        <w:rPr>
          <w:b/>
          <w:sz w:val="28"/>
          <w:szCs w:val="28"/>
        </w:rPr>
      </w:pPr>
    </w:p>
    <w:p w:rsidR="00D63627" w:rsidRDefault="00C221DD" w:rsidP="00580509">
      <w:pPr>
        <w:pStyle w:val="Listenabsatz"/>
        <w:numPr>
          <w:ilvl w:val="0"/>
          <w:numId w:val="1"/>
        </w:numPr>
        <w:rPr>
          <w:b/>
          <w:sz w:val="28"/>
          <w:szCs w:val="28"/>
        </w:rPr>
      </w:pPr>
      <w:r>
        <w:rPr>
          <w:b/>
          <w:sz w:val="28"/>
          <w:szCs w:val="28"/>
        </w:rPr>
        <w:t>Eingang Antrag/Anregung</w:t>
      </w:r>
      <w:r w:rsidR="00D63627">
        <w:rPr>
          <w:b/>
          <w:sz w:val="28"/>
          <w:szCs w:val="28"/>
        </w:rPr>
        <w:t>; Präsentation;</w:t>
      </w:r>
      <w:r w:rsidR="001D0E20">
        <w:rPr>
          <w:b/>
          <w:sz w:val="28"/>
          <w:szCs w:val="28"/>
        </w:rPr>
        <w:t xml:space="preserve"> eigene Zuständigkeit (richtige Abteilung);</w:t>
      </w:r>
      <w:r w:rsidR="00D63627">
        <w:rPr>
          <w:b/>
          <w:sz w:val="28"/>
          <w:szCs w:val="28"/>
        </w:rPr>
        <w:t xml:space="preserve"> Prüfung: Volljährigkeit, OLMERA-Abfrage, Ehegattenabfrage, Vorsorgeregister, Vorverfahren; Verfahrensanlage (Fachverfahren</w:t>
      </w:r>
      <w:r w:rsidR="001D0E20">
        <w:rPr>
          <w:b/>
          <w:sz w:val="28"/>
          <w:szCs w:val="28"/>
        </w:rPr>
        <w:t xml:space="preserve">); Vorlage Richter, Anforderung des Sozialberichts, Eingang Sozialbericht, Vorlage Richter -&gt;prüft, ob Voraussetzungen für Betreuung erfüllt sind, wenn nicht -&gt; </w:t>
      </w:r>
      <w:r w:rsidR="001D0E20">
        <w:rPr>
          <w:b/>
          <w:sz w:val="28"/>
          <w:szCs w:val="28"/>
        </w:rPr>
        <w:lastRenderedPageBreak/>
        <w:t xml:space="preserve">Verfahrensende; Gutachtenauftrag an Sachverständigen, Gutachteneingang, Terminierung (Anhörung), Beschluss über Betreuung, Verpflichtung Betreuer durch Rechtspfleger, wenn ehrenamtlich, Übergabe Betreuerausweis (oder Übersendung bei Berufsbetreuern), Übernahmebericht/Anfangsbericht von Betreuer erfordern, </w:t>
      </w:r>
      <w:proofErr w:type="spellStart"/>
      <w:r w:rsidR="001D0E20">
        <w:rPr>
          <w:b/>
          <w:sz w:val="28"/>
          <w:szCs w:val="28"/>
        </w:rPr>
        <w:t>Rechtspflegervorlage</w:t>
      </w:r>
      <w:proofErr w:type="spellEnd"/>
      <w:r w:rsidR="001D0E20">
        <w:rPr>
          <w:b/>
          <w:sz w:val="28"/>
          <w:szCs w:val="28"/>
        </w:rPr>
        <w:t xml:space="preserve"> -&gt; weitere Kontrollaufgaben (Vermögensverzeichnis, Genehmigungen, weitere Berichte, Betreuerwechsel </w:t>
      </w:r>
      <w:proofErr w:type="spellStart"/>
      <w:r w:rsidR="001D0E20">
        <w:rPr>
          <w:b/>
          <w:sz w:val="28"/>
          <w:szCs w:val="28"/>
        </w:rPr>
        <w:t>etc</w:t>
      </w:r>
      <w:proofErr w:type="spellEnd"/>
      <w:r w:rsidR="001D0E20">
        <w:rPr>
          <w:b/>
          <w:sz w:val="28"/>
          <w:szCs w:val="28"/>
        </w:rPr>
        <w:t>)</w:t>
      </w:r>
    </w:p>
    <w:p w:rsidR="00C221DD" w:rsidRDefault="00C221DD" w:rsidP="00D63627">
      <w:pPr>
        <w:pStyle w:val="Listenabsatz"/>
        <w:rPr>
          <w:b/>
          <w:sz w:val="28"/>
          <w:szCs w:val="28"/>
        </w:rPr>
      </w:pPr>
      <w:r>
        <w:rPr>
          <w:b/>
          <w:sz w:val="28"/>
          <w:szCs w:val="28"/>
        </w:rPr>
        <w:t xml:space="preserve"> </w:t>
      </w:r>
    </w:p>
    <w:p w:rsidR="00DF0309" w:rsidRDefault="001D0E20" w:rsidP="00580509">
      <w:pPr>
        <w:pStyle w:val="Listenabsatz"/>
        <w:numPr>
          <w:ilvl w:val="0"/>
          <w:numId w:val="1"/>
        </w:numPr>
        <w:rPr>
          <w:b/>
          <w:sz w:val="28"/>
          <w:szCs w:val="28"/>
        </w:rPr>
      </w:pPr>
      <w:r>
        <w:rPr>
          <w:b/>
          <w:sz w:val="28"/>
          <w:szCs w:val="28"/>
        </w:rPr>
        <w:t>Ein Betreuer unterstützt den Betreuten im Rahmen seiner ihm zugewiesenen Aufgabenbereiche</w:t>
      </w:r>
      <w:r w:rsidR="00583DD2">
        <w:rPr>
          <w:b/>
          <w:sz w:val="28"/>
          <w:szCs w:val="28"/>
        </w:rPr>
        <w:t>.</w:t>
      </w:r>
    </w:p>
    <w:p w:rsidR="000D70E5" w:rsidRDefault="000D70E5" w:rsidP="000D70E5">
      <w:pPr>
        <w:pStyle w:val="Listenabsatz"/>
        <w:ind w:left="1068"/>
        <w:rPr>
          <w:b/>
          <w:sz w:val="28"/>
          <w:szCs w:val="28"/>
        </w:rPr>
      </w:pPr>
    </w:p>
    <w:p w:rsidR="00583DD2" w:rsidRDefault="00583DD2" w:rsidP="00580509">
      <w:pPr>
        <w:pStyle w:val="Listenabsatz"/>
        <w:numPr>
          <w:ilvl w:val="0"/>
          <w:numId w:val="1"/>
        </w:numPr>
        <w:rPr>
          <w:b/>
          <w:sz w:val="28"/>
          <w:szCs w:val="28"/>
        </w:rPr>
      </w:pPr>
      <w:r>
        <w:rPr>
          <w:b/>
          <w:sz w:val="28"/>
          <w:szCs w:val="28"/>
        </w:rPr>
        <w:t>Ein Betreuter kann seine Angelegenheiten weiterhin alleine regeln, sofern er voll geschäftsfähig ist, d.h. es darf kein Einwilligungsvorbehalt vorliegen.</w:t>
      </w:r>
    </w:p>
    <w:p w:rsidR="00583DD2" w:rsidRPr="00583DD2" w:rsidRDefault="00583DD2" w:rsidP="00583DD2">
      <w:pPr>
        <w:pStyle w:val="Listenabsatz"/>
        <w:rPr>
          <w:b/>
          <w:sz w:val="28"/>
          <w:szCs w:val="28"/>
        </w:rPr>
      </w:pPr>
    </w:p>
    <w:p w:rsidR="00583DD2" w:rsidRDefault="00583DD2" w:rsidP="00580509">
      <w:pPr>
        <w:pStyle w:val="Listenabsatz"/>
        <w:numPr>
          <w:ilvl w:val="0"/>
          <w:numId w:val="1"/>
        </w:numPr>
        <w:rPr>
          <w:b/>
          <w:sz w:val="28"/>
          <w:szCs w:val="28"/>
        </w:rPr>
      </w:pPr>
      <w:r>
        <w:rPr>
          <w:b/>
          <w:sz w:val="28"/>
          <w:szCs w:val="28"/>
        </w:rPr>
        <w:t>Spätestens nach 7 Jahren wird überprüft, ob die angeordnete Betreuung weiterhin bestehen muss (wird erneut mit einem Gutachten</w:t>
      </w:r>
      <w:r w:rsidR="00514494">
        <w:rPr>
          <w:b/>
          <w:sz w:val="28"/>
          <w:szCs w:val="28"/>
        </w:rPr>
        <w:t>/Attest</w:t>
      </w:r>
      <w:r>
        <w:rPr>
          <w:b/>
          <w:sz w:val="28"/>
          <w:szCs w:val="28"/>
        </w:rPr>
        <w:t xml:space="preserve"> geprüft</w:t>
      </w:r>
      <w:r w:rsidR="00514494">
        <w:rPr>
          <w:b/>
          <w:sz w:val="28"/>
          <w:szCs w:val="28"/>
        </w:rPr>
        <w:t xml:space="preserve"> § 295</w:t>
      </w:r>
      <w:r>
        <w:rPr>
          <w:b/>
          <w:sz w:val="28"/>
          <w:szCs w:val="28"/>
        </w:rPr>
        <w:t>)</w:t>
      </w:r>
      <w:r w:rsidR="00514494">
        <w:rPr>
          <w:b/>
          <w:sz w:val="28"/>
          <w:szCs w:val="28"/>
        </w:rPr>
        <w:t>,</w:t>
      </w:r>
      <w:r>
        <w:rPr>
          <w:b/>
          <w:sz w:val="28"/>
          <w:szCs w:val="28"/>
        </w:rPr>
        <w:t xml:space="preserve"> § </w:t>
      </w:r>
      <w:r w:rsidR="00514494">
        <w:rPr>
          <w:b/>
          <w:sz w:val="28"/>
          <w:szCs w:val="28"/>
        </w:rPr>
        <w:t xml:space="preserve">294 III </w:t>
      </w:r>
      <w:proofErr w:type="spellStart"/>
      <w:r w:rsidR="00514494">
        <w:rPr>
          <w:b/>
          <w:sz w:val="28"/>
          <w:szCs w:val="28"/>
        </w:rPr>
        <w:t>FamFG</w:t>
      </w:r>
      <w:proofErr w:type="spellEnd"/>
      <w:r w:rsidR="00514494">
        <w:rPr>
          <w:b/>
          <w:sz w:val="28"/>
          <w:szCs w:val="28"/>
        </w:rPr>
        <w:t>.</w:t>
      </w:r>
      <w:r>
        <w:rPr>
          <w:b/>
          <w:sz w:val="28"/>
          <w:szCs w:val="28"/>
        </w:rPr>
        <w:t xml:space="preserve"> </w:t>
      </w:r>
    </w:p>
    <w:p w:rsidR="00583DD2" w:rsidRDefault="00AA48D6" w:rsidP="00583DD2">
      <w:pPr>
        <w:pStyle w:val="Listenabsatz"/>
        <w:rPr>
          <w:b/>
          <w:sz w:val="28"/>
          <w:szCs w:val="28"/>
        </w:rPr>
      </w:pPr>
      <w:r>
        <w:rPr>
          <w:b/>
          <w:sz w:val="28"/>
          <w:szCs w:val="28"/>
        </w:rPr>
        <w:t xml:space="preserve">      </w:t>
      </w:r>
      <w:r w:rsidR="00583DD2">
        <w:rPr>
          <w:b/>
          <w:sz w:val="28"/>
          <w:szCs w:val="28"/>
        </w:rPr>
        <w:t xml:space="preserve">Fallen die Voraussetzungen für die Betreuung weg, so ist die </w:t>
      </w:r>
      <w:r>
        <w:rPr>
          <w:b/>
          <w:sz w:val="28"/>
          <w:szCs w:val="28"/>
        </w:rPr>
        <w:t xml:space="preserve">     </w:t>
      </w:r>
    </w:p>
    <w:p w:rsidR="00AA48D6" w:rsidRDefault="00AA48D6" w:rsidP="00583DD2">
      <w:pPr>
        <w:pStyle w:val="Listenabsatz"/>
        <w:rPr>
          <w:b/>
          <w:sz w:val="28"/>
          <w:szCs w:val="28"/>
        </w:rPr>
      </w:pPr>
      <w:r>
        <w:rPr>
          <w:b/>
          <w:sz w:val="28"/>
          <w:szCs w:val="28"/>
        </w:rPr>
        <w:t xml:space="preserve">      </w:t>
      </w:r>
      <w:r>
        <w:rPr>
          <w:b/>
          <w:sz w:val="28"/>
          <w:szCs w:val="28"/>
        </w:rPr>
        <w:t>Betreuung aufzuheben.</w:t>
      </w:r>
    </w:p>
    <w:p w:rsidR="00514494" w:rsidRDefault="00AA48D6" w:rsidP="00583DD2">
      <w:pPr>
        <w:pStyle w:val="Listenabsatz"/>
        <w:rPr>
          <w:b/>
          <w:sz w:val="28"/>
          <w:szCs w:val="28"/>
        </w:rPr>
      </w:pPr>
      <w:r>
        <w:rPr>
          <w:b/>
          <w:sz w:val="28"/>
          <w:szCs w:val="28"/>
        </w:rPr>
        <w:t xml:space="preserve">      </w:t>
      </w:r>
      <w:r w:rsidR="00514494">
        <w:rPr>
          <w:b/>
          <w:sz w:val="28"/>
          <w:szCs w:val="28"/>
        </w:rPr>
        <w:t xml:space="preserve">Auf Antrag kann der Betreute die Aufhebung der Betreuung </w:t>
      </w:r>
      <w:r>
        <w:rPr>
          <w:b/>
          <w:sz w:val="28"/>
          <w:szCs w:val="28"/>
        </w:rPr>
        <w:t xml:space="preserve"> </w:t>
      </w:r>
    </w:p>
    <w:p w:rsidR="00AA48D6" w:rsidRDefault="00AA48D6" w:rsidP="00583DD2">
      <w:pPr>
        <w:pStyle w:val="Listenabsatz"/>
        <w:rPr>
          <w:b/>
          <w:sz w:val="28"/>
          <w:szCs w:val="28"/>
        </w:rPr>
      </w:pPr>
      <w:r>
        <w:rPr>
          <w:b/>
          <w:sz w:val="28"/>
          <w:szCs w:val="28"/>
        </w:rPr>
        <w:t xml:space="preserve">      </w:t>
      </w:r>
      <w:r>
        <w:rPr>
          <w:b/>
          <w:sz w:val="28"/>
          <w:szCs w:val="28"/>
        </w:rPr>
        <w:t>verlangen, wenn er sie selbst beantragt hat.</w:t>
      </w:r>
      <w:r w:rsidR="00786F54">
        <w:rPr>
          <w:b/>
          <w:sz w:val="28"/>
          <w:szCs w:val="28"/>
        </w:rPr>
        <w:t xml:space="preserve"> </w:t>
      </w:r>
      <w:bookmarkStart w:id="0" w:name="_GoBack"/>
      <w:bookmarkEnd w:id="0"/>
    </w:p>
    <w:p w:rsidR="00514494" w:rsidRDefault="00514494" w:rsidP="00583DD2">
      <w:pPr>
        <w:pStyle w:val="Listenabsatz"/>
        <w:rPr>
          <w:b/>
          <w:sz w:val="28"/>
          <w:szCs w:val="28"/>
        </w:rPr>
      </w:pPr>
    </w:p>
    <w:p w:rsidR="00514494" w:rsidRDefault="00514494" w:rsidP="00514494">
      <w:pPr>
        <w:pStyle w:val="Listenabsatz"/>
        <w:numPr>
          <w:ilvl w:val="0"/>
          <w:numId w:val="1"/>
        </w:numPr>
        <w:rPr>
          <w:b/>
          <w:sz w:val="28"/>
          <w:szCs w:val="28"/>
        </w:rPr>
      </w:pPr>
      <w:r>
        <w:rPr>
          <w:b/>
          <w:sz w:val="28"/>
          <w:szCs w:val="28"/>
        </w:rPr>
        <w:t xml:space="preserve"> Die Betreuung endet, wenn der Betreute stirbt. Der Betreuer muss einen Schlussbericht und eine Schlussrechnungslegung (Empfänger wären in diesem Fall die möglichen Erben) erstellen. Die Schlussrechnungslegung kann auf Verlangen vom Betreuungsgericht überprüft werden. Der Betreuer hat alle Unterlagen an die Erben herauszugeben.</w:t>
      </w:r>
    </w:p>
    <w:p w:rsidR="00514494" w:rsidRDefault="00514494" w:rsidP="00514494">
      <w:pPr>
        <w:pStyle w:val="Listenabsatz"/>
        <w:rPr>
          <w:b/>
          <w:sz w:val="28"/>
          <w:szCs w:val="28"/>
        </w:rPr>
      </w:pPr>
    </w:p>
    <w:p w:rsidR="00514494" w:rsidRDefault="00514494" w:rsidP="00514494">
      <w:pPr>
        <w:pStyle w:val="Listenabsatz"/>
        <w:numPr>
          <w:ilvl w:val="0"/>
          <w:numId w:val="1"/>
        </w:numPr>
        <w:rPr>
          <w:b/>
          <w:sz w:val="28"/>
          <w:szCs w:val="28"/>
        </w:rPr>
      </w:pPr>
      <w:r>
        <w:rPr>
          <w:b/>
          <w:sz w:val="28"/>
          <w:szCs w:val="28"/>
        </w:rPr>
        <w:t xml:space="preserve"> Die Verfahrensvorschriften für die Betreuung sind im </w:t>
      </w:r>
      <w:proofErr w:type="spellStart"/>
      <w:r>
        <w:rPr>
          <w:b/>
          <w:sz w:val="28"/>
          <w:szCs w:val="28"/>
        </w:rPr>
        <w:t>FamFG</w:t>
      </w:r>
      <w:proofErr w:type="spellEnd"/>
      <w:r>
        <w:rPr>
          <w:b/>
          <w:sz w:val="28"/>
          <w:szCs w:val="28"/>
        </w:rPr>
        <w:t xml:space="preserve"> (§ 271ff) geregelt.</w:t>
      </w:r>
    </w:p>
    <w:p w:rsidR="00514494" w:rsidRPr="00514494" w:rsidRDefault="00514494" w:rsidP="00514494">
      <w:pPr>
        <w:pStyle w:val="Listenabsatz"/>
        <w:rPr>
          <w:b/>
          <w:sz w:val="28"/>
          <w:szCs w:val="28"/>
        </w:rPr>
      </w:pPr>
    </w:p>
    <w:p w:rsidR="00514494" w:rsidRDefault="00514494" w:rsidP="00514494">
      <w:pPr>
        <w:pStyle w:val="Listenabsatz"/>
        <w:numPr>
          <w:ilvl w:val="0"/>
          <w:numId w:val="1"/>
        </w:numPr>
        <w:rPr>
          <w:b/>
          <w:sz w:val="28"/>
          <w:szCs w:val="28"/>
        </w:rPr>
      </w:pPr>
      <w:r>
        <w:rPr>
          <w:b/>
          <w:sz w:val="28"/>
          <w:szCs w:val="28"/>
        </w:rPr>
        <w:t xml:space="preserve"> Die materiell-rechtlichen Vorschriften in der Betreuung ergeben sich aus dem BGB</w:t>
      </w:r>
      <w:r w:rsidR="000D70E5">
        <w:rPr>
          <w:b/>
          <w:sz w:val="28"/>
          <w:szCs w:val="28"/>
        </w:rPr>
        <w:t xml:space="preserve"> (§ 1814ff)</w:t>
      </w:r>
      <w:r>
        <w:rPr>
          <w:b/>
          <w:sz w:val="28"/>
          <w:szCs w:val="28"/>
        </w:rPr>
        <w:t>.</w:t>
      </w:r>
    </w:p>
    <w:p w:rsidR="00514494" w:rsidRPr="00514494" w:rsidRDefault="00514494" w:rsidP="00514494">
      <w:pPr>
        <w:ind w:left="708"/>
        <w:rPr>
          <w:b/>
          <w:sz w:val="28"/>
          <w:szCs w:val="28"/>
        </w:rPr>
      </w:pPr>
    </w:p>
    <w:p w:rsidR="00514494" w:rsidRPr="00514494" w:rsidRDefault="00514494" w:rsidP="00514494">
      <w:pPr>
        <w:pStyle w:val="Listenabsatz"/>
        <w:ind w:left="1068"/>
        <w:rPr>
          <w:b/>
          <w:sz w:val="28"/>
          <w:szCs w:val="28"/>
        </w:rPr>
      </w:pPr>
    </w:p>
    <w:p w:rsidR="00583DD2" w:rsidRPr="00580509" w:rsidRDefault="00583DD2" w:rsidP="00583DD2">
      <w:pPr>
        <w:pStyle w:val="Listenabsatz"/>
        <w:rPr>
          <w:b/>
          <w:sz w:val="28"/>
          <w:szCs w:val="28"/>
        </w:rPr>
      </w:pPr>
    </w:p>
    <w:sectPr w:rsidR="00583DD2" w:rsidRPr="0058050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BD60D5"/>
    <w:multiLevelType w:val="hybridMultilevel"/>
    <w:tmpl w:val="339C59B0"/>
    <w:lvl w:ilvl="0" w:tplc="13A05D8E">
      <w:start w:val="1"/>
      <w:numFmt w:val="decimal"/>
      <w:lvlText w:val="%1."/>
      <w:lvlJc w:val="left"/>
      <w:pPr>
        <w:ind w:left="1068" w:hanging="360"/>
      </w:pPr>
      <w:rPr>
        <w:rFonts w:hint="default"/>
        <w:sz w:val="28"/>
        <w:szCs w:val="2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AE"/>
    <w:rsid w:val="000D70E5"/>
    <w:rsid w:val="001935F4"/>
    <w:rsid w:val="001D0E20"/>
    <w:rsid w:val="00265AAE"/>
    <w:rsid w:val="00514494"/>
    <w:rsid w:val="00580509"/>
    <w:rsid w:val="00583DD2"/>
    <w:rsid w:val="00786F54"/>
    <w:rsid w:val="007B7489"/>
    <w:rsid w:val="00A23FCB"/>
    <w:rsid w:val="00AA48D6"/>
    <w:rsid w:val="00C221DD"/>
    <w:rsid w:val="00D20329"/>
    <w:rsid w:val="00D63627"/>
    <w:rsid w:val="00DF0309"/>
    <w:rsid w:val="00EC07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92335"/>
  <w15:chartTrackingRefBased/>
  <w15:docId w15:val="{2E7545DC-9600-4799-AC39-4F2C5DAC6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65A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450</Words>
  <Characters>2841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Neuendorf-Schulz, Simone</dc:creator>
  <cp:keywords/>
  <dc:description/>
  <cp:lastModifiedBy>Neuendorf-Schulz, Simone</cp:lastModifiedBy>
  <cp:revision>6</cp:revision>
  <dcterms:created xsi:type="dcterms:W3CDTF">2023-01-20T08:20:00Z</dcterms:created>
  <dcterms:modified xsi:type="dcterms:W3CDTF">2023-05-31T12:03:00Z</dcterms:modified>
</cp:coreProperties>
</file>